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80" w:lineRule="exact"/>
        <w:jc w:val="center"/>
        <w:rPr>
          <w:rFonts w:ascii="华文中宋" w:hAnsi="华文中宋" w:eastAsia="华文中宋"/>
          <w:b/>
          <w:bCs/>
          <w:sz w:val="52"/>
          <w:szCs w:val="52"/>
        </w:rPr>
      </w:pPr>
    </w:p>
    <w:p>
      <w:pPr>
        <w:pStyle w:val="12"/>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2"/>
        <w:spacing w:line="580" w:lineRule="exact"/>
        <w:rPr>
          <w:rFonts w:ascii="华文中宋" w:hAnsi="华文中宋" w:eastAsia="华文中宋"/>
          <w:b/>
          <w:bCs/>
          <w:sz w:val="52"/>
          <w:szCs w:val="52"/>
        </w:rPr>
      </w:pPr>
    </w:p>
    <w:p>
      <w:pPr>
        <w:ind w:firstLine="4480" w:firstLineChars="1400"/>
        <w:rPr>
          <w:sz w:val="32"/>
          <w:szCs w:val="32"/>
          <w:highlight w:val="none"/>
        </w:rPr>
      </w:pPr>
      <w:r>
        <w:rPr>
          <w:rFonts w:hint="eastAsia"/>
          <w:sz w:val="32"/>
          <w:szCs w:val="32"/>
          <w:highlight w:val="none"/>
        </w:rPr>
        <w:t>汴水行许字〔</w:t>
      </w:r>
      <w:r>
        <w:rPr>
          <w:rFonts w:hint="eastAsia"/>
          <w:sz w:val="32"/>
          <w:szCs w:val="32"/>
          <w:highlight w:val="none"/>
          <w:lang w:val="en-US" w:eastAsia="zh-CN"/>
        </w:rPr>
        <w:t>2020</w:t>
      </w:r>
      <w:r>
        <w:rPr>
          <w:rFonts w:hint="eastAsia"/>
          <w:sz w:val="32"/>
          <w:szCs w:val="32"/>
          <w:highlight w:val="none"/>
        </w:rPr>
        <w:t>〕</w:t>
      </w:r>
      <w:r>
        <w:rPr>
          <w:rFonts w:hint="eastAsia"/>
          <w:sz w:val="32"/>
          <w:szCs w:val="32"/>
          <w:highlight w:val="none"/>
          <w:lang w:val="en-US" w:eastAsia="zh-CN"/>
        </w:rPr>
        <w:t xml:space="preserve">  </w:t>
      </w:r>
      <w:r>
        <w:rPr>
          <w:rFonts w:hint="eastAsia"/>
          <w:sz w:val="32"/>
          <w:szCs w:val="32"/>
          <w:highlight w:val="none"/>
        </w:rPr>
        <w:t>号</w:t>
      </w:r>
    </w:p>
    <w:p>
      <w:pPr>
        <w:pStyle w:val="11"/>
        <w:rPr>
          <w:kern w:val="2"/>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w:t>
      </w:r>
      <w:r>
        <w:rPr>
          <w:rFonts w:hint="eastAsia" w:ascii="仿宋_GB2312" w:hAnsi="仿宋_GB2312" w:eastAsia="仿宋_GB2312" w:cs="仿宋_GB2312"/>
          <w:sz w:val="32"/>
          <w:szCs w:val="32"/>
          <w:lang w:val="en-US" w:eastAsia="zh-CN"/>
        </w:rPr>
        <w:t>河南圣帝奥家具有限公司年产8万套系列软体家具生产线项目</w:t>
      </w:r>
      <w:r>
        <w:rPr>
          <w:rFonts w:hint="eastAsia" w:ascii="仿宋_GB2312" w:hAnsi="仿宋_GB2312" w:eastAsia="仿宋_GB2312" w:cs="仿宋_GB2312"/>
          <w:sz w:val="32"/>
          <w:szCs w:val="32"/>
        </w:rPr>
        <w:t>水土保持方案报告表的审批</w:t>
      </w:r>
    </w:p>
    <w:p>
      <w:pPr>
        <w:adjustRightInd w:val="0"/>
        <w:snapToGrid w:val="0"/>
        <w:spacing w:line="360" w:lineRule="auto"/>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hint="eastAsia" w:eastAsia="仿宋_GB2312"/>
          <w:sz w:val="32"/>
          <w:szCs w:val="32"/>
          <w:lang w:val="en-US" w:eastAsia="zh-CN"/>
        </w:rPr>
        <w:t>河南圣帝奥家具有限公司</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本机关于</w:t>
      </w:r>
      <w:r>
        <w:rPr>
          <w:rFonts w:hint="eastAsia" w:eastAsia="仿宋_GB2312"/>
          <w:sz w:val="32"/>
          <w:szCs w:val="32"/>
          <w:highlight w:val="none"/>
        </w:rPr>
        <w:t>2020年</w:t>
      </w:r>
      <w:r>
        <w:rPr>
          <w:rFonts w:hint="eastAsia" w:eastAsia="仿宋_GB2312"/>
          <w:sz w:val="32"/>
          <w:szCs w:val="32"/>
          <w:highlight w:val="none"/>
          <w:lang w:val="en-US" w:eastAsia="zh-CN"/>
        </w:rPr>
        <w:t>9</w:t>
      </w:r>
      <w:r>
        <w:rPr>
          <w:rFonts w:hint="eastAsia" w:eastAsia="仿宋_GB2312"/>
          <w:sz w:val="32"/>
          <w:szCs w:val="32"/>
          <w:highlight w:val="none"/>
        </w:rPr>
        <w:t>月</w:t>
      </w:r>
      <w:r>
        <w:rPr>
          <w:rFonts w:hint="eastAsia" w:eastAsia="仿宋_GB2312"/>
          <w:sz w:val="32"/>
          <w:szCs w:val="32"/>
          <w:highlight w:val="none"/>
          <w:lang w:val="en-US" w:eastAsia="zh-CN"/>
        </w:rPr>
        <w:t>27</w:t>
      </w:r>
      <w:r>
        <w:rPr>
          <w:rFonts w:hint="eastAsia" w:eastAsia="仿宋_GB2312"/>
          <w:sz w:val="32"/>
          <w:szCs w:val="32"/>
          <w:highlight w:val="none"/>
        </w:rPr>
        <w:t>日</w:t>
      </w:r>
      <w:r>
        <w:rPr>
          <w:rFonts w:hint="eastAsia" w:eastAsia="仿宋_GB2312"/>
          <w:sz w:val="32"/>
          <w:szCs w:val="32"/>
        </w:rPr>
        <w:t>受理你单位报送的</w:t>
      </w:r>
      <w:r>
        <w:rPr>
          <w:rFonts w:eastAsia="仿宋_GB2312"/>
          <w:sz w:val="32"/>
          <w:szCs w:val="32"/>
        </w:rPr>
        <w:t>《关于呈报&lt;</w:t>
      </w:r>
      <w:r>
        <w:rPr>
          <w:rFonts w:hint="eastAsia" w:ascii="仿宋_GB2312" w:hAnsi="仿宋_GB2312" w:eastAsia="仿宋_GB2312" w:cs="仿宋_GB2312"/>
          <w:sz w:val="32"/>
          <w:szCs w:val="32"/>
          <w:lang w:val="en-US" w:eastAsia="zh-CN"/>
        </w:rPr>
        <w:t>河南圣帝奥家具有限公司年产8万套系列软体家具生产线项目</w:t>
      </w:r>
      <w:r>
        <w:rPr>
          <w:rFonts w:eastAsia="仿宋_GB2312"/>
          <w:sz w:val="32"/>
          <w:szCs w:val="32"/>
        </w:rPr>
        <w:t>&gt;</w:t>
      </w:r>
      <w:r>
        <w:rPr>
          <w:rFonts w:hint="eastAsia" w:eastAsia="仿宋_GB2312"/>
          <w:sz w:val="32"/>
          <w:szCs w:val="32"/>
        </w:rPr>
        <w:t>的请示</w:t>
      </w:r>
      <w:r>
        <w:rPr>
          <w:rFonts w:eastAsia="仿宋_GB2312"/>
          <w:sz w:val="32"/>
          <w:szCs w:val="32"/>
        </w:rPr>
        <w:t>》</w:t>
      </w:r>
      <w:r>
        <w:rPr>
          <w:rFonts w:hint="eastAsia" w:eastAsia="仿宋_GB2312"/>
          <w:sz w:val="32"/>
          <w:szCs w:val="32"/>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表》以及专家审查意见，许可如下：</w:t>
      </w:r>
    </w:p>
    <w:p>
      <w:pPr>
        <w:pStyle w:val="11"/>
        <w:numPr>
          <w:ilvl w:val="0"/>
          <w:numId w:val="1"/>
        </w:numPr>
        <w:spacing w:line="600"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项目概况:</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本项目建筑物区</w:t>
      </w:r>
      <w:r>
        <w:rPr>
          <w:rFonts w:hint="eastAsia" w:ascii="仿宋" w:hAnsi="仿宋" w:eastAsia="仿宋" w:cs="仿宋"/>
          <w:color w:val="000000"/>
          <w:kern w:val="0"/>
          <w:sz w:val="32"/>
          <w:szCs w:val="32"/>
          <w:lang w:val="en-US" w:eastAsia="zh-CN" w:bidi="ar"/>
        </w:rPr>
        <w:t>总用地面积 35572m</w:t>
      </w:r>
      <w:r>
        <w:rPr>
          <w:rFonts w:hint="eastAsia" w:ascii="仿宋" w:hAnsi="仿宋" w:eastAsia="仿宋" w:cs="仿宋"/>
          <w:color w:val="000000"/>
          <w:kern w:val="0"/>
          <w:sz w:val="32"/>
          <w:szCs w:val="32"/>
          <w:vertAlign w:val="superscript"/>
          <w:lang w:val="en-US" w:eastAsia="zh-CN" w:bidi="ar"/>
        </w:rPr>
        <w:t>2</w:t>
      </w:r>
      <w:r>
        <w:rPr>
          <w:rFonts w:hint="eastAsia" w:ascii="仿宋" w:hAnsi="仿宋" w:eastAsia="仿宋" w:cs="仿宋"/>
          <w:color w:val="000000"/>
          <w:kern w:val="0"/>
          <w:sz w:val="32"/>
          <w:szCs w:val="32"/>
          <w:lang w:val="en-US" w:eastAsia="zh-CN" w:bidi="ar"/>
        </w:rPr>
        <w:t>，总建筑面积为 46051.39m</w:t>
      </w:r>
      <w:r>
        <w:rPr>
          <w:rFonts w:hint="eastAsia" w:ascii="仿宋" w:hAnsi="仿宋" w:eastAsia="仿宋" w:cs="仿宋"/>
          <w:color w:val="000000"/>
          <w:kern w:val="0"/>
          <w:sz w:val="32"/>
          <w:szCs w:val="32"/>
          <w:vertAlign w:val="superscript"/>
          <w:lang w:val="en-US" w:eastAsia="zh-CN" w:bidi="ar"/>
        </w:rPr>
        <w:t>2</w:t>
      </w:r>
      <w:r>
        <w:rPr>
          <w:rFonts w:hint="eastAsia" w:ascii="仿宋" w:hAnsi="仿宋" w:eastAsia="仿宋" w:cs="仿宋"/>
          <w:color w:val="000000"/>
          <w:kern w:val="0"/>
          <w:sz w:val="32"/>
          <w:szCs w:val="32"/>
          <w:lang w:val="en-US" w:eastAsia="zh-CN" w:bidi="ar"/>
        </w:rPr>
        <w:t>，建筑基底面积21437.38m</w:t>
      </w:r>
      <w:r>
        <w:rPr>
          <w:rFonts w:hint="eastAsia" w:ascii="仿宋" w:hAnsi="仿宋" w:eastAsia="仿宋" w:cs="仿宋"/>
          <w:color w:val="000000"/>
          <w:kern w:val="0"/>
          <w:sz w:val="32"/>
          <w:szCs w:val="32"/>
          <w:vertAlign w:val="superscript"/>
          <w:lang w:val="en-US" w:eastAsia="zh-CN" w:bidi="ar"/>
        </w:rPr>
        <w:t>2</w:t>
      </w:r>
      <w:r>
        <w:rPr>
          <w:rFonts w:hint="eastAsia" w:ascii="仿宋" w:hAnsi="仿宋" w:eastAsia="仿宋" w:cs="仿宋"/>
          <w:color w:val="000000"/>
          <w:kern w:val="0"/>
          <w:sz w:val="32"/>
          <w:szCs w:val="32"/>
          <w:lang w:val="en-US" w:eastAsia="zh-CN" w:bidi="ar"/>
        </w:rPr>
        <w:t>，建筑密度 60.27%，建筑系数 60.27%，容积率1.30，绿地率10.24%。建设内容包括1座5F综合楼，4座 2F 的厂房，配电房，内部道路及景观绿化、停车位等。</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项目总用地面积3.56hm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，建筑物区占地2.14</w:t>
      </w:r>
      <w:r>
        <w:rPr>
          <w:rFonts w:hint="eastAsia"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，道路及广场区占地1.06</w:t>
      </w:r>
      <w:r>
        <w:rPr>
          <w:rFonts w:hint="eastAsia"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，景观绿化区占地0.36</w:t>
      </w:r>
      <w:r>
        <w:rPr>
          <w:rFonts w:hint="eastAsia"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，临时堆土区占地0.20</w:t>
      </w:r>
      <w:r>
        <w:rPr>
          <w:rFonts w:hint="eastAsia"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，施工生产生活区占地0.10</w:t>
      </w:r>
      <w:r>
        <w:rPr>
          <w:rFonts w:hint="eastAsia"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，项目占地类型全部为耕地。</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bidi="ar"/>
        </w:rPr>
        <w:t xml:space="preserve">本项目于 </w:t>
      </w:r>
      <w:r>
        <w:rPr>
          <w:rFonts w:hint="default" w:ascii="仿宋" w:hAnsi="仿宋" w:eastAsia="仿宋" w:cs="仿宋"/>
          <w:color w:val="000000"/>
          <w:kern w:val="0"/>
          <w:sz w:val="32"/>
          <w:szCs w:val="32"/>
          <w:lang w:val="en-US" w:eastAsia="zh-CN" w:bidi="ar"/>
        </w:rPr>
        <w:t xml:space="preserve">2018 </w:t>
      </w:r>
      <w:r>
        <w:rPr>
          <w:rFonts w:hint="eastAsia" w:ascii="仿宋" w:hAnsi="仿宋" w:eastAsia="仿宋" w:cs="仿宋"/>
          <w:color w:val="000000"/>
          <w:kern w:val="0"/>
          <w:sz w:val="32"/>
          <w:szCs w:val="32"/>
          <w:lang w:val="en-US" w:eastAsia="zh-CN" w:bidi="ar"/>
        </w:rPr>
        <w:t xml:space="preserve">年 </w:t>
      </w:r>
      <w:r>
        <w:rPr>
          <w:rFonts w:hint="default" w:ascii="仿宋" w:hAnsi="仿宋" w:eastAsia="仿宋" w:cs="仿宋"/>
          <w:color w:val="000000"/>
          <w:kern w:val="0"/>
          <w:sz w:val="32"/>
          <w:szCs w:val="32"/>
          <w:lang w:val="en-US" w:eastAsia="zh-CN" w:bidi="ar"/>
        </w:rPr>
        <w:t>1</w:t>
      </w:r>
      <w:r>
        <w:rPr>
          <w:rFonts w:hint="default"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lang w:val="en-US" w:eastAsia="zh-CN"/>
        </w:rPr>
        <w:t xml:space="preserve">月初正式开工建设，预计于 </w:t>
      </w:r>
      <w:r>
        <w:rPr>
          <w:rFonts w:hint="default" w:ascii="仿宋_GB2312" w:hAnsi="仿宋_GB2312" w:eastAsia="仿宋_GB2312" w:cs="仿宋_GB2312"/>
          <w:sz w:val="32"/>
          <w:szCs w:val="32"/>
          <w:lang w:val="en-US" w:eastAsia="zh-CN"/>
        </w:rPr>
        <w:t xml:space="preserve">2020 </w:t>
      </w:r>
      <w:r>
        <w:rPr>
          <w:rFonts w:hint="eastAsia" w:ascii="仿宋_GB2312" w:hAnsi="仿宋_GB2312" w:eastAsia="仿宋_GB2312" w:cs="仿宋_GB2312"/>
          <w:sz w:val="32"/>
          <w:szCs w:val="32"/>
          <w:lang w:val="en-US" w:eastAsia="zh-CN"/>
        </w:rPr>
        <w:t xml:space="preserve">年 </w:t>
      </w:r>
      <w:r>
        <w:rPr>
          <w:rFonts w:hint="default" w:ascii="仿宋_GB2312" w:hAnsi="仿宋_GB2312" w:eastAsia="仿宋_GB2312" w:cs="仿宋_GB2312"/>
          <w:sz w:val="32"/>
          <w:szCs w:val="32"/>
          <w:lang w:val="en-US" w:eastAsia="zh-CN"/>
        </w:rPr>
        <w:t xml:space="preserve">12 </w:t>
      </w:r>
      <w:r>
        <w:rPr>
          <w:rFonts w:hint="eastAsia" w:ascii="仿宋_GB2312" w:hAnsi="仿宋_GB2312" w:eastAsia="仿宋_GB2312" w:cs="仿宋_GB2312"/>
          <w:sz w:val="32"/>
          <w:szCs w:val="32"/>
          <w:lang w:val="en-US" w:eastAsia="zh-CN"/>
        </w:rPr>
        <w:t xml:space="preserve">月底完工，总工期 </w:t>
      </w:r>
      <w:r>
        <w:rPr>
          <w:rFonts w:hint="default" w:ascii="仿宋_GB2312" w:hAnsi="仿宋_GB2312" w:eastAsia="仿宋_GB2312" w:cs="仿宋_GB2312"/>
          <w:sz w:val="32"/>
          <w:szCs w:val="32"/>
          <w:lang w:val="en-US" w:eastAsia="zh-CN"/>
        </w:rPr>
        <w:t xml:space="preserve">26 </w:t>
      </w:r>
      <w:r>
        <w:rPr>
          <w:rFonts w:hint="eastAsia" w:ascii="仿宋_GB2312" w:hAnsi="仿宋_GB2312" w:eastAsia="仿宋_GB2312" w:cs="仿宋_GB2312"/>
          <w:sz w:val="32"/>
          <w:szCs w:val="32"/>
          <w:lang w:val="en-US" w:eastAsia="zh-CN"/>
        </w:rPr>
        <w:t>个月。</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报告表深度为可行性研究阶段深度。报告表依据充分，内容全面，水土流失范围和防治目标明确。水土保持分区及水土流失防治措施总体布局基本可行。经专家审查，符合开发建设项目有关技术规范的规定和要求，可作为水土保持工作的依据。</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三、同意水土流失预测内容、方法和结果。</w:t>
      </w:r>
      <w:r>
        <w:rPr>
          <w:rFonts w:hint="eastAsia" w:ascii="仿宋_GB2312" w:hAnsi="仿宋_GB2312" w:eastAsia="仿宋_GB2312" w:cs="仿宋_GB2312"/>
          <w:sz w:val="32"/>
          <w:szCs w:val="32"/>
          <w:lang w:val="en-US" w:eastAsia="zh-CN"/>
        </w:rPr>
        <w:t>预测时段内，工程施工期（</w:t>
      </w:r>
      <w:r>
        <w:rPr>
          <w:rFonts w:hint="default" w:ascii="仿宋_GB2312" w:hAnsi="仿宋_GB2312" w:eastAsia="仿宋_GB2312" w:cs="仿宋_GB2312"/>
          <w:sz w:val="32"/>
          <w:szCs w:val="32"/>
          <w:lang w:val="en-US" w:eastAsia="zh-CN"/>
        </w:rPr>
        <w:t>2020.9~</w:t>
      </w:r>
      <w:r>
        <w:rPr>
          <w:rFonts w:hint="eastAsia" w:ascii="仿宋_GB2312" w:hAnsi="仿宋_GB2312" w:eastAsia="仿宋_GB2312" w:cs="仿宋_GB2312"/>
          <w:sz w:val="32"/>
          <w:szCs w:val="32"/>
          <w:lang w:val="en-US" w:eastAsia="zh-CN"/>
        </w:rPr>
        <w:t>自然恢复期末）</w:t>
      </w:r>
      <w:r>
        <w:rPr>
          <w:rFonts w:hint="default" w:ascii="仿宋_GB2312" w:hAnsi="仿宋_GB2312" w:eastAsia="仿宋_GB2312" w:cs="仿宋_GB2312"/>
          <w:sz w:val="32"/>
          <w:szCs w:val="32"/>
          <w:lang w:val="en-US" w:eastAsia="zh-CN"/>
        </w:rPr>
        <w:t>可能造成土壤流失总量为</w:t>
      </w:r>
      <w:r>
        <w:rPr>
          <w:rFonts w:hint="eastAsia" w:ascii="仿宋_GB2312" w:hAnsi="仿宋_GB2312" w:eastAsia="仿宋_GB2312" w:cs="仿宋_GB2312"/>
          <w:sz w:val="32"/>
          <w:szCs w:val="32"/>
          <w:lang w:val="en-US" w:eastAsia="zh-CN"/>
        </w:rPr>
        <w:t>34.42t</w:t>
      </w:r>
      <w:r>
        <w:rPr>
          <w:rFonts w:hint="default" w:ascii="仿宋_GB2312" w:hAnsi="仿宋_GB2312" w:eastAsia="仿宋_GB2312" w:cs="仿宋_GB2312"/>
          <w:sz w:val="32"/>
          <w:szCs w:val="32"/>
          <w:lang w:val="en-US" w:eastAsia="zh-CN"/>
        </w:rPr>
        <w:t>，新增的土壤流失量为</w:t>
      </w:r>
      <w:r>
        <w:rPr>
          <w:rFonts w:hint="eastAsia" w:ascii="仿宋_GB2312" w:hAnsi="仿宋_GB2312" w:eastAsia="仿宋_GB2312" w:cs="仿宋_GB2312"/>
          <w:sz w:val="32"/>
          <w:szCs w:val="32"/>
          <w:lang w:val="en-US" w:eastAsia="zh-CN"/>
        </w:rPr>
        <w:t>30.67t</w:t>
      </w:r>
      <w:r>
        <w:rPr>
          <w:rFonts w:hint="default" w:ascii="仿宋_GB2312" w:hAnsi="仿宋_GB2312" w:eastAsia="仿宋_GB2312" w:cs="仿宋_GB2312"/>
          <w:sz w:val="32"/>
          <w:szCs w:val="32"/>
          <w:lang w:val="en-US" w:eastAsia="zh-CN"/>
        </w:rPr>
        <w:t>，原地貌土壤流失量为</w:t>
      </w:r>
      <w:r>
        <w:rPr>
          <w:rFonts w:hint="eastAsia" w:ascii="仿宋_GB2312" w:hAnsi="仿宋_GB2312" w:eastAsia="仿宋_GB2312" w:cs="仿宋_GB2312"/>
          <w:sz w:val="32"/>
          <w:szCs w:val="32"/>
          <w:lang w:val="en-US" w:eastAsia="zh-CN"/>
        </w:rPr>
        <w:t>3.74</w:t>
      </w:r>
      <w:r>
        <w:rPr>
          <w:rFonts w:hint="default" w:ascii="仿宋_GB2312" w:hAnsi="仿宋_GB2312" w:eastAsia="仿宋_GB2312" w:cs="仿宋_GB2312"/>
          <w:sz w:val="32"/>
          <w:szCs w:val="32"/>
          <w:lang w:val="en-US" w:eastAsia="zh-CN"/>
        </w:rPr>
        <w:t>t。</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四、同意本工程采用建设类项目Ⅰ级水土流失防治标准。</w:t>
      </w:r>
      <w:r>
        <w:rPr>
          <w:rFonts w:hint="eastAsia" w:ascii="仿宋_GB2312" w:hAnsi="仿宋_GB2312" w:eastAsia="仿宋_GB2312" w:cs="仿宋_GB2312"/>
          <w:sz w:val="32"/>
          <w:szCs w:val="32"/>
          <w:lang w:val="en-US" w:eastAsia="zh-CN"/>
        </w:rPr>
        <w:t>河南圣帝奥家具有限公司年产8万套系列软体家具生产线项目</w:t>
      </w:r>
      <w:r>
        <w:rPr>
          <w:rFonts w:hint="eastAsia" w:ascii="仿宋_GB2312" w:hAnsi="仿宋_GB2312" w:eastAsia="仿宋_GB2312" w:cs="仿宋_GB2312"/>
          <w:sz w:val="32"/>
          <w:szCs w:val="32"/>
        </w:rPr>
        <w:t>位于河南省开封市龙亭区境内，</w:t>
      </w:r>
      <w:r>
        <w:rPr>
          <w:rFonts w:ascii="仿宋_GB2312" w:hAnsi="仿宋_GB2312" w:eastAsia="仿宋_GB2312" w:cs="仿宋_GB2312"/>
          <w:sz w:val="32"/>
          <w:szCs w:val="32"/>
        </w:rPr>
        <w:t>项目所在地开封市龙亭区属于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黄泛平原风沙省级水土流失重点预防区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执行属于</w:t>
      </w:r>
      <w:r>
        <w:rPr>
          <w:rFonts w:hint="eastAsia" w:ascii="仿宋_GB2312" w:hAnsi="仿宋_GB2312" w:eastAsia="仿宋_GB2312" w:cs="仿宋_GB2312"/>
          <w:sz w:val="32"/>
          <w:szCs w:val="32"/>
        </w:rPr>
        <w:t>北方土石山</w:t>
      </w:r>
      <w:r>
        <w:rPr>
          <w:rFonts w:ascii="仿宋_GB2312" w:hAnsi="仿宋_GB2312" w:eastAsia="仿宋_GB2312" w:cs="仿宋_GB2312"/>
          <w:sz w:val="32"/>
          <w:szCs w:val="32"/>
        </w:rPr>
        <w:t>区一级标准。</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_GB2312" w:hAnsi="仿宋_GB2312" w:eastAsia="仿宋_GB2312" w:cs="仿宋_GB2312"/>
          <w:color w:val="000000" w:themeColor="text1"/>
          <w:sz w:val="32"/>
          <w:szCs w:val="32"/>
          <w14:textFill>
            <w14:solidFill>
              <w14:schemeClr w14:val="tx1"/>
            </w14:solidFill>
          </w14:textFill>
        </w:rPr>
        <w:t>五、同意该项目</w:t>
      </w:r>
      <w:r>
        <w:rPr>
          <w:rFonts w:hint="eastAsia" w:ascii="仿宋" w:hAnsi="仿宋" w:eastAsia="仿宋" w:cs="仿宋"/>
          <w:color w:val="000000"/>
          <w:kern w:val="0"/>
          <w:sz w:val="32"/>
          <w:szCs w:val="32"/>
          <w:lang w:bidi="ar"/>
        </w:rPr>
        <w:t>本项目水土流失防治责任范围。</w:t>
      </w:r>
      <w:r>
        <w:rPr>
          <w:rFonts w:hint="eastAsia" w:ascii="仿宋" w:hAnsi="仿宋" w:eastAsia="仿宋" w:cs="仿宋"/>
          <w:color w:val="000000"/>
          <w:kern w:val="0"/>
          <w:sz w:val="32"/>
          <w:szCs w:val="32"/>
          <w:lang w:val="en-US" w:eastAsia="zh-CN" w:bidi="ar"/>
        </w:rPr>
        <w:t>本项目水土流失防治责任范围面积共计3.56hm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。建筑物区防治区占地2.14</w:t>
      </w:r>
      <w:r>
        <w:rPr>
          <w:rFonts w:hint="eastAsia"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，道路及广场区防治区占地1.06</w:t>
      </w:r>
      <w:r>
        <w:rPr>
          <w:rFonts w:hint="eastAsia"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，景观绿化区防治区占地0.36</w:t>
      </w:r>
      <w:r>
        <w:rPr>
          <w:rFonts w:hint="eastAsia"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 xml:space="preserve"> ，临时堆土区防治区占地0.20</w:t>
      </w:r>
      <w:r>
        <w:rPr>
          <w:rFonts w:hint="eastAsia"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，施工生产生活区防治区占地0.10</w:t>
      </w:r>
      <w:r>
        <w:rPr>
          <w:rFonts w:hint="eastAsia"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，项目占地类型全部为耕地</w:t>
      </w:r>
      <w:r>
        <w:rPr>
          <w:rFonts w:hint="eastAsia" w:ascii="仿宋" w:hAnsi="仿宋" w:eastAsia="仿宋" w:cs="仿宋"/>
          <w:color w:val="000000"/>
          <w:kern w:val="0"/>
          <w:sz w:val="32"/>
          <w:szCs w:val="32"/>
          <w:lang w:val="en-US" w:eastAsia="zh-CN" w:bidi="ar"/>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六、同意本报告表工程建设水土流失防治要求，根据水土保持有关技术规范要求，在筑土工程设计已有的防护措施的基础上，需补充或增加水土保持措施，已达到较全面的防止因工程建设而产生的水土流失。</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七、同意水土保持报告表实施进度安排，要严格按照批复的水土保持方案所确定的进度组织实施水土保持工程。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八、同意投资概算的编制依据，原则和方法。</w:t>
      </w:r>
    </w:p>
    <w:p>
      <w:pPr>
        <w:autoSpaceDE w:val="0"/>
        <w:autoSpaceDN w:val="0"/>
        <w:adjustRightIn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经计算该项目水土保持估算总投资125.78</w:t>
      </w:r>
      <w:r>
        <w:rPr>
          <w:rFonts w:hint="default" w:ascii="仿宋_GB2312" w:hAnsi="仿宋_GB2312" w:eastAsia="仿宋_GB2312" w:cs="仿宋_GB2312"/>
          <w:sz w:val="32"/>
          <w:szCs w:val="32"/>
          <w:lang w:val="en-US" w:eastAsia="zh-CN"/>
        </w:rPr>
        <w:t>万元，其中本方案新增水保投资19.29万元，主体设计水保投资106.49万元。水土保持防治费107.64万元（其中工程措施费35.71万元，植物措施费54.00万元，临时措施费17.93万元），独立费用13万元，水土保持补偿费42686.4元。</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九、建设单位要注意做好以下工作。</w:t>
      </w:r>
    </w:p>
    <w:p>
      <w:pPr>
        <w:pStyle w:val="16"/>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2、根据《中华人民共和国水土保持法》、《水土保持补偿费征收使用管理办法》、《河南省实施&lt;中华人民共和国水土保持法&gt;办法》、河南省豫发改收费〔2018〕1079号文件之规定，应缴纳水土保持补偿费</w:t>
      </w:r>
      <w:r>
        <w:rPr>
          <w:rFonts w:hint="default" w:ascii="仿宋_GB2312" w:hAnsi="仿宋_GB2312" w:eastAsia="仿宋_GB2312" w:cs="仿宋_GB2312"/>
          <w:sz w:val="32"/>
          <w:szCs w:val="32"/>
          <w:lang w:val="en-US" w:eastAsia="zh-CN"/>
        </w:rPr>
        <w:t>42686.4</w:t>
      </w:r>
      <w:r>
        <w:rPr>
          <w:rFonts w:hint="eastAsia" w:ascii="仿宋_GB2312" w:hAnsi="仿宋_GB2312" w:eastAsia="仿宋_GB2312" w:cs="仿宋_GB2312"/>
          <w:sz w:val="32"/>
          <w:szCs w:val="32"/>
        </w:rPr>
        <w:t>元。</w:t>
      </w:r>
      <w:r>
        <w:rPr>
          <w:rFonts w:eastAsia="仿宋_GB2312"/>
          <w:sz w:val="32"/>
          <w:szCs w:val="32"/>
        </w:rPr>
        <w:t>接</w:t>
      </w:r>
      <w:r>
        <w:rPr>
          <w:rFonts w:eastAsia="仿宋_GB2312"/>
          <w:color w:val="auto"/>
          <w:sz w:val="32"/>
          <w:szCs w:val="32"/>
        </w:rPr>
        <w:t>此</w:t>
      </w:r>
      <w:r>
        <w:rPr>
          <w:rFonts w:eastAsia="仿宋_GB2312"/>
          <w:sz w:val="32"/>
          <w:szCs w:val="32"/>
        </w:rPr>
        <w:t>文书后</w:t>
      </w:r>
      <w:r>
        <w:rPr>
          <w:rFonts w:hint="eastAsia" w:eastAsia="仿宋_GB2312"/>
          <w:sz w:val="32"/>
          <w:szCs w:val="32"/>
          <w:lang w:val="en-US" w:eastAsia="zh-CN"/>
        </w:rPr>
        <w:t>十五</w:t>
      </w:r>
      <w:r>
        <w:rPr>
          <w:rFonts w:eastAsia="仿宋_GB2312"/>
          <w:sz w:val="32"/>
          <w:szCs w:val="32"/>
        </w:rPr>
        <w:t>日内，</w:t>
      </w:r>
      <w:r>
        <w:rPr>
          <w:rFonts w:hint="eastAsia" w:ascii="仿宋_GB2312" w:hAnsi="仿宋_GB2312" w:eastAsia="仿宋_GB2312" w:cs="仿宋_GB2312"/>
          <w:sz w:val="32"/>
          <w:szCs w:val="32"/>
        </w:rPr>
        <w:t>请将水土保持补偿费交至：</w:t>
      </w:r>
      <w:r>
        <w:rPr>
          <w:rFonts w:hint="eastAsia" w:ascii="仿宋_GB2312" w:hAnsi="仿宋_GB2312" w:eastAsia="仿宋_GB2312" w:cs="仿宋_GB2312"/>
          <w:b/>
          <w:bCs/>
          <w:sz w:val="32"/>
          <w:szCs w:val="32"/>
          <w:u w:val="single"/>
        </w:rPr>
        <w:t>开封市财政局非税收入财政专户</w:t>
      </w:r>
      <w:r>
        <w:rPr>
          <w:rFonts w:hint="eastAsia" w:ascii="仿宋_GB2312" w:hAnsi="仿宋_GB2312" w:eastAsia="仿宋_GB2312" w:cs="仿宋_GB2312"/>
          <w:sz w:val="32"/>
          <w:szCs w:val="32"/>
        </w:rPr>
        <w:t>（开户行：</w:t>
      </w:r>
      <w:r>
        <w:rPr>
          <w:rFonts w:hint="eastAsia" w:ascii="仿宋_GB2312" w:hAnsi="仿宋_GB2312" w:eastAsia="仿宋_GB2312" w:cs="仿宋_GB2312"/>
          <w:b/>
          <w:bCs/>
          <w:sz w:val="32"/>
          <w:szCs w:val="32"/>
          <w:u w:val="single"/>
        </w:rPr>
        <w:t>中原银行开封分行营业部</w:t>
      </w:r>
      <w:r>
        <w:rPr>
          <w:rFonts w:hint="eastAsia" w:ascii="仿宋_GB2312" w:hAnsi="仿宋_GB2312" w:eastAsia="仿宋_GB2312" w:cs="仿宋_GB2312"/>
          <w:sz w:val="32"/>
          <w:szCs w:val="32"/>
        </w:rPr>
        <w:t xml:space="preserve">，账号： </w:t>
      </w:r>
      <w:r>
        <w:rPr>
          <w:rFonts w:hint="eastAsia" w:ascii="仿宋_GB2312" w:hAnsi="仿宋_GB2312" w:eastAsia="仿宋_GB2312" w:cs="仿宋_GB2312"/>
          <w:b/>
          <w:bCs/>
          <w:sz w:val="32"/>
          <w:szCs w:val="32"/>
          <w:u w:val="single"/>
        </w:rPr>
        <w:t>5001880300010</w:t>
      </w:r>
      <w:r>
        <w:rPr>
          <w:rFonts w:hint="eastAsia" w:ascii="仿宋_GB2312" w:hAnsi="仿宋_GB2312" w:eastAsia="仿宋_GB2312" w:cs="仿宋_GB2312"/>
          <w:sz w:val="32"/>
          <w:szCs w:val="32"/>
        </w:rPr>
        <w:t>），进账后，请到开封市水政监察支队办理有关手续。自接到本通知书之日起三日内，你（单位）可以进行陈述和申辩，逾期视为你（单位）放弃此权利。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逾期不缴纳的，按照《中华人民共和国水土保持法》第五十七条之规定处理，即从滞纳之日起按日加收滞纳部分万分之五的滞纳金，可以处应缴水土保持补偿费三倍以下的罚款。</w:t>
      </w:r>
    </w:p>
    <w:p>
      <w:pPr>
        <w:ind w:firstLine="640" w:firstLineChars="200"/>
        <w:jc w:val="left"/>
        <w:rPr>
          <w:rFonts w:eastAsia="仿宋_GB2312"/>
          <w:sz w:val="32"/>
          <w:szCs w:val="32"/>
        </w:rPr>
      </w:pPr>
      <w:r>
        <w:rPr>
          <w:rFonts w:hint="eastAsia" w:ascii="仿宋_GB2312" w:hAnsi="仿宋_GB2312" w:eastAsia="仿宋_GB2312" w:cs="仿宋_GB2312"/>
          <w:sz w:val="32"/>
          <w:szCs w:val="32"/>
        </w:rPr>
        <w:t>4、</w:t>
      </w:r>
      <w:r>
        <w:rPr>
          <w:rFonts w:hint="eastAsia" w:eastAsia="仿宋_GB2312"/>
          <w:sz w:val="32"/>
          <w:szCs w:val="32"/>
        </w:rPr>
        <w:t>在主体工程竣工前，要切实落实国务院国发〔2017〕46号文件和水利部水保〔2017〕365号文件要求，尽快组织开展水土保持设施自主验收工作。要严格遵循水土保持</w:t>
      </w:r>
      <w:r>
        <w:rPr>
          <w:rFonts w:hint="eastAsia" w:eastAsia="仿宋_GB2312"/>
          <w:sz w:val="32"/>
          <w:szCs w:val="32"/>
          <w:lang w:val="en-US" w:eastAsia="zh-CN"/>
        </w:rPr>
        <w:t>标</w:t>
      </w:r>
      <w:r>
        <w:rPr>
          <w:rFonts w:hint="eastAsia" w:eastAsia="仿宋_GB2312"/>
          <w:sz w:val="32"/>
          <w:szCs w:val="32"/>
        </w:rPr>
        <w:t>准、规范、规程确定的验收标准和条件，召开验收会议并形成水土保持设施验收鉴定书，在通过官方网站或其他便于公众知悉的方式向社会公开水土保持设施验收鉴定书等材料后，生产建设项目投产使用前，向我局报备水土保持设施验收材料。逾期不验收的水土保持设施，不得投入使用。</w:t>
      </w:r>
    </w:p>
    <w:p>
      <w:pPr>
        <w:ind w:firstLine="640" w:firstLineChars="200"/>
        <w:rPr>
          <w:rFonts w:eastAsia="仿宋_GB2312"/>
          <w:sz w:val="32"/>
          <w:szCs w:val="32"/>
        </w:rPr>
      </w:pPr>
    </w:p>
    <w:p>
      <w:pPr>
        <w:pStyle w:val="16"/>
        <w:spacing w:line="600" w:lineRule="exact"/>
        <w:ind w:firstLine="640" w:firstLineChars="200"/>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2020年</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日</w:t>
      </w: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ind w:left="0" w:leftChars="0" w:firstLine="0" w:firstLineChars="0"/>
        <w:jc w:val="both"/>
        <w:rPr>
          <w:rFonts w:ascii="仿宋_GB2312" w:hAnsi="仿宋_GB2312" w:eastAsia="仿宋_GB2312" w:cs="仿宋_GB2312"/>
          <w:sz w:val="32"/>
          <w:szCs w:val="32"/>
        </w:rPr>
      </w:pPr>
    </w:p>
    <w:p>
      <w:pPr>
        <w:pStyle w:val="16"/>
        <w:ind w:left="0" w:leftChars="0" w:firstLine="0" w:firstLineChars="0"/>
        <w:jc w:val="both"/>
        <w:rPr>
          <w:rFonts w:ascii="仿宋_GB2312" w:hAnsi="仿宋_GB2312" w:eastAsia="仿宋_GB2312" w:cs="仿宋_GB2312"/>
          <w:sz w:val="32"/>
          <w:szCs w:val="32"/>
        </w:rPr>
      </w:pPr>
    </w:p>
    <w:p>
      <w:pPr>
        <w:pStyle w:val="16"/>
        <w:ind w:left="0" w:leftChars="0" w:firstLine="0" w:firstLineChars="0"/>
        <w:jc w:val="both"/>
        <w:rPr>
          <w:rFonts w:ascii="仿宋_GB2312" w:hAnsi="仿宋_GB2312" w:eastAsia="仿宋_GB2312" w:cs="仿宋_GB2312"/>
          <w:sz w:val="32"/>
          <w:szCs w:val="32"/>
        </w:rPr>
      </w:pPr>
    </w:p>
    <w:p>
      <w:pPr>
        <w:pStyle w:val="16"/>
        <w:ind w:left="0" w:leftChars="0" w:firstLine="0" w:firstLineChars="0"/>
        <w:jc w:val="both"/>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jc w:val="center"/>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bookmarkStart w:id="0" w:name="_GoBack"/>
      <w:bookmarkEnd w:id="0"/>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pStyle w:val="16"/>
        <w:ind w:firstLine="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2020年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C316F"/>
    <w:rsid w:val="002E3793"/>
    <w:rsid w:val="002E3CB2"/>
    <w:rsid w:val="003036FF"/>
    <w:rsid w:val="00325507"/>
    <w:rsid w:val="0032749F"/>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5FD"/>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2040657"/>
    <w:rsid w:val="0509054B"/>
    <w:rsid w:val="055E5485"/>
    <w:rsid w:val="0589555D"/>
    <w:rsid w:val="07352E93"/>
    <w:rsid w:val="079C0F8C"/>
    <w:rsid w:val="0813721F"/>
    <w:rsid w:val="092D073A"/>
    <w:rsid w:val="09B03D12"/>
    <w:rsid w:val="0B6A191F"/>
    <w:rsid w:val="0B7C7AC3"/>
    <w:rsid w:val="0BCC2757"/>
    <w:rsid w:val="0C03010A"/>
    <w:rsid w:val="0E007950"/>
    <w:rsid w:val="0EA207A0"/>
    <w:rsid w:val="0FAC6C69"/>
    <w:rsid w:val="12D0079A"/>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2392408"/>
    <w:rsid w:val="23176F15"/>
    <w:rsid w:val="24063B86"/>
    <w:rsid w:val="24190863"/>
    <w:rsid w:val="2456562D"/>
    <w:rsid w:val="248D16AF"/>
    <w:rsid w:val="24DC49C0"/>
    <w:rsid w:val="25A34813"/>
    <w:rsid w:val="269427A6"/>
    <w:rsid w:val="271C66A7"/>
    <w:rsid w:val="28793D4B"/>
    <w:rsid w:val="28F57818"/>
    <w:rsid w:val="2BF525E9"/>
    <w:rsid w:val="2CC32B95"/>
    <w:rsid w:val="2CDF6859"/>
    <w:rsid w:val="2ED645B7"/>
    <w:rsid w:val="2F03704A"/>
    <w:rsid w:val="2F7877C1"/>
    <w:rsid w:val="2FA43350"/>
    <w:rsid w:val="2FAA1653"/>
    <w:rsid w:val="30250CCA"/>
    <w:rsid w:val="31354DD7"/>
    <w:rsid w:val="32337F66"/>
    <w:rsid w:val="326A7616"/>
    <w:rsid w:val="32D60B60"/>
    <w:rsid w:val="3451670F"/>
    <w:rsid w:val="348D6FB9"/>
    <w:rsid w:val="34E95FAA"/>
    <w:rsid w:val="352C7AC3"/>
    <w:rsid w:val="368D5856"/>
    <w:rsid w:val="36DA4DDC"/>
    <w:rsid w:val="39C66480"/>
    <w:rsid w:val="3A5D72AB"/>
    <w:rsid w:val="3BC073D5"/>
    <w:rsid w:val="3C260E68"/>
    <w:rsid w:val="3D04283F"/>
    <w:rsid w:val="3D22429A"/>
    <w:rsid w:val="3E4642CB"/>
    <w:rsid w:val="3E863B03"/>
    <w:rsid w:val="3F782905"/>
    <w:rsid w:val="3FFD70A7"/>
    <w:rsid w:val="40211244"/>
    <w:rsid w:val="41201852"/>
    <w:rsid w:val="41AF3F95"/>
    <w:rsid w:val="41BE0393"/>
    <w:rsid w:val="42673908"/>
    <w:rsid w:val="439663A7"/>
    <w:rsid w:val="444F670C"/>
    <w:rsid w:val="449E0D6A"/>
    <w:rsid w:val="452B09C1"/>
    <w:rsid w:val="465379C1"/>
    <w:rsid w:val="476202B0"/>
    <w:rsid w:val="47A9461E"/>
    <w:rsid w:val="47DE0B20"/>
    <w:rsid w:val="48020955"/>
    <w:rsid w:val="48174FD9"/>
    <w:rsid w:val="48462844"/>
    <w:rsid w:val="48DC31A2"/>
    <w:rsid w:val="48F530EF"/>
    <w:rsid w:val="4A350631"/>
    <w:rsid w:val="4A9D0202"/>
    <w:rsid w:val="4B1A6DCD"/>
    <w:rsid w:val="4B6051D4"/>
    <w:rsid w:val="4B7151EA"/>
    <w:rsid w:val="4CA648F6"/>
    <w:rsid w:val="4D006F52"/>
    <w:rsid w:val="4D237B78"/>
    <w:rsid w:val="4DEF1B0D"/>
    <w:rsid w:val="4ED737F8"/>
    <w:rsid w:val="4F9F3D57"/>
    <w:rsid w:val="50111EFE"/>
    <w:rsid w:val="50845BB6"/>
    <w:rsid w:val="50A96ED8"/>
    <w:rsid w:val="510161AE"/>
    <w:rsid w:val="5198498F"/>
    <w:rsid w:val="51A02DC3"/>
    <w:rsid w:val="521943B2"/>
    <w:rsid w:val="52562F0D"/>
    <w:rsid w:val="540F455E"/>
    <w:rsid w:val="542D40F9"/>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E54476"/>
    <w:rsid w:val="66D87237"/>
    <w:rsid w:val="6785488D"/>
    <w:rsid w:val="67964820"/>
    <w:rsid w:val="67C85638"/>
    <w:rsid w:val="68492154"/>
    <w:rsid w:val="69127C5D"/>
    <w:rsid w:val="698316E5"/>
    <w:rsid w:val="6A3A70E7"/>
    <w:rsid w:val="6A532918"/>
    <w:rsid w:val="6B0464E2"/>
    <w:rsid w:val="6BE82FB6"/>
    <w:rsid w:val="6C41396C"/>
    <w:rsid w:val="6D450929"/>
    <w:rsid w:val="6DAF6A17"/>
    <w:rsid w:val="6DCC3B45"/>
    <w:rsid w:val="6DEA08F1"/>
    <w:rsid w:val="6E381557"/>
    <w:rsid w:val="6F02765A"/>
    <w:rsid w:val="6F402169"/>
    <w:rsid w:val="6F6C789F"/>
    <w:rsid w:val="700254BF"/>
    <w:rsid w:val="71763B55"/>
    <w:rsid w:val="722D6062"/>
    <w:rsid w:val="727542DB"/>
    <w:rsid w:val="730C5E83"/>
    <w:rsid w:val="74700969"/>
    <w:rsid w:val="754D673F"/>
    <w:rsid w:val="7836615E"/>
    <w:rsid w:val="7890425C"/>
    <w:rsid w:val="79956834"/>
    <w:rsid w:val="7A577124"/>
    <w:rsid w:val="7B285B2A"/>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link w:val="21"/>
    <w:qFormat/>
    <w:uiPriority w:val="0"/>
    <w:pPr>
      <w:tabs>
        <w:tab w:val="right" w:pos="840"/>
      </w:tabs>
      <w:spacing w:line="360" w:lineRule="auto"/>
      <w:ind w:firstLine="233"/>
    </w:pPr>
    <w:rPr>
      <w:rFonts w:ascii="宋体" w:hAnsi="宋体"/>
      <w:kern w:val="0"/>
      <w:sz w:val="24"/>
      <w:szCs w:val="28"/>
    </w:rPr>
  </w:style>
  <w:style w:type="paragraph" w:styleId="4">
    <w:name w:val="Date"/>
    <w:basedOn w:val="1"/>
    <w:next w:val="1"/>
    <w:link w:val="22"/>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szCs w:val="24"/>
    </w:rPr>
  </w:style>
  <w:style w:type="paragraph" w:customStyle="1" w:styleId="11">
    <w:name w:val="p0"/>
    <w:basedOn w:val="1"/>
    <w:qFormat/>
    <w:uiPriority w:val="0"/>
    <w:pPr>
      <w:widowControl/>
    </w:pPr>
    <w:rPr>
      <w:kern w:val="0"/>
      <w:szCs w:val="21"/>
    </w:rPr>
  </w:style>
  <w:style w:type="paragraph" w:customStyle="1" w:styleId="12">
    <w:name w:val="p15"/>
    <w:basedOn w:val="1"/>
    <w:qFormat/>
    <w:uiPriority w:val="0"/>
    <w:pPr>
      <w:widowControl/>
    </w:pPr>
    <w:rPr>
      <w:rFonts w:ascii="宋体" w:hAnsi="宋体" w:cs="宋体"/>
      <w:kern w:val="0"/>
      <w:szCs w:val="21"/>
    </w:rPr>
  </w:style>
  <w:style w:type="character" w:customStyle="1" w:styleId="13">
    <w:name w:val="页眉 字符"/>
    <w:basedOn w:val="10"/>
    <w:link w:val="7"/>
    <w:qFormat/>
    <w:uiPriority w:val="99"/>
    <w:rPr>
      <w:rFonts w:ascii="Times New Roman" w:hAnsi="Times New Roman"/>
      <w:kern w:val="2"/>
      <w:sz w:val="18"/>
      <w:szCs w:val="18"/>
    </w:rPr>
  </w:style>
  <w:style w:type="character" w:customStyle="1" w:styleId="14">
    <w:name w:val="页脚 字符"/>
    <w:basedOn w:val="10"/>
    <w:link w:val="6"/>
    <w:qFormat/>
    <w:uiPriority w:val="99"/>
    <w:rPr>
      <w:rFonts w:ascii="Times New Roman" w:hAnsi="Times New Roman"/>
      <w:kern w:val="2"/>
      <w:sz w:val="18"/>
      <w:szCs w:val="18"/>
    </w:rPr>
  </w:style>
  <w:style w:type="paragraph" w:customStyle="1" w:styleId="15">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6">
    <w:name w:val="样式 四号 行距: 1.5 倍行距"/>
    <w:basedOn w:val="1"/>
    <w:link w:val="20"/>
    <w:qFormat/>
    <w:uiPriority w:val="0"/>
    <w:pPr>
      <w:adjustRightInd w:val="0"/>
      <w:snapToGrid w:val="0"/>
      <w:spacing w:line="360" w:lineRule="auto"/>
      <w:ind w:firstLine="480"/>
    </w:pPr>
    <w:rPr>
      <w:rFonts w:cs="宋体"/>
      <w:sz w:val="24"/>
      <w:szCs w:val="24"/>
    </w:rPr>
  </w:style>
  <w:style w:type="paragraph" w:customStyle="1" w:styleId="17">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8">
    <w:name w:val="List Paragraph"/>
    <w:basedOn w:val="1"/>
    <w:qFormat/>
    <w:uiPriority w:val="99"/>
    <w:pPr>
      <w:ind w:firstLine="420" w:firstLineChars="200"/>
    </w:pPr>
  </w:style>
  <w:style w:type="character" w:customStyle="1" w:styleId="19">
    <w:name w:val="批注框文本 字符"/>
    <w:basedOn w:val="10"/>
    <w:link w:val="5"/>
    <w:qFormat/>
    <w:uiPriority w:val="0"/>
    <w:rPr>
      <w:rFonts w:ascii="Times New Roman" w:hAnsi="Times New Roman"/>
      <w:kern w:val="2"/>
      <w:sz w:val="18"/>
      <w:szCs w:val="18"/>
    </w:rPr>
  </w:style>
  <w:style w:type="character" w:customStyle="1" w:styleId="20">
    <w:name w:val="样式 四号 行距: 1.5 倍行距 Char"/>
    <w:link w:val="16"/>
    <w:qFormat/>
    <w:uiPriority w:val="0"/>
    <w:rPr>
      <w:rFonts w:ascii="Times New Roman" w:hAnsi="Times New Roman" w:cs="宋体"/>
      <w:kern w:val="2"/>
      <w:sz w:val="24"/>
      <w:szCs w:val="24"/>
    </w:rPr>
  </w:style>
  <w:style w:type="character" w:customStyle="1" w:styleId="21">
    <w:name w:val="正文缩进 字符"/>
    <w:link w:val="3"/>
    <w:qFormat/>
    <w:uiPriority w:val="0"/>
    <w:rPr>
      <w:rFonts w:ascii="宋体" w:hAnsi="宋体"/>
      <w:sz w:val="24"/>
      <w:szCs w:val="28"/>
    </w:rPr>
  </w:style>
  <w:style w:type="character" w:customStyle="1" w:styleId="22">
    <w:name w:val="日期 字符"/>
    <w:basedOn w:val="10"/>
    <w:link w:val="4"/>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6</Pages>
  <Words>321</Words>
  <Characters>1831</Characters>
  <Lines>15</Lines>
  <Paragraphs>4</Paragraphs>
  <TotalTime>3</TotalTime>
  <ScaleCrop>false</ScaleCrop>
  <LinksUpToDate>false</LinksUpToDate>
  <CharactersWithSpaces>2148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吴亚萌</cp:lastModifiedBy>
  <cp:lastPrinted>2020-09-28T07:26:29Z</cp:lastPrinted>
  <dcterms:modified xsi:type="dcterms:W3CDTF">2020-09-28T07:27:11Z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