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80" w:lineRule="exact"/>
        <w:jc w:val="center"/>
        <w:rPr>
          <w:rFonts w:ascii="华文中宋" w:hAnsi="华文中宋" w:eastAsia="华文中宋"/>
          <w:b/>
          <w:bCs/>
          <w:sz w:val="52"/>
          <w:szCs w:val="52"/>
        </w:rPr>
      </w:pPr>
    </w:p>
    <w:p>
      <w:pPr>
        <w:pStyle w:val="11"/>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1"/>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1"/>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 xml:space="preserve"> 39</w:t>
      </w:r>
      <w:bookmarkStart w:id="0" w:name="_GoBack"/>
      <w:bookmarkEnd w:id="0"/>
      <w:r>
        <w:rPr>
          <w:rFonts w:hint="eastAsia"/>
          <w:sz w:val="32"/>
          <w:szCs w:val="32"/>
          <w:lang w:val="en-US" w:eastAsia="zh-CN"/>
        </w:rPr>
        <w:t xml:space="preserve"> </w:t>
      </w:r>
      <w:r>
        <w:rPr>
          <w:rFonts w:hint="eastAsia"/>
          <w:sz w:val="32"/>
          <w:szCs w:val="32"/>
        </w:rPr>
        <w:t>号</w:t>
      </w:r>
    </w:p>
    <w:p>
      <w:pPr>
        <w:pStyle w:val="10"/>
        <w:rPr>
          <w:kern w:val="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东京御园项目</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eastAsia="仿宋_GB2312" w:cs="Times New Roman"/>
          <w:color w:val="auto"/>
          <w:sz w:val="32"/>
          <w:szCs w:val="32"/>
          <w:lang w:val="en-US" w:eastAsia="zh-CN"/>
        </w:rPr>
        <w:t>开封中原置业有限公司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本机关于2020年7月16日受理你单位报送的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东京御园项目</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0"/>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adjustRightInd w:val="0"/>
        <w:snapToGrid w:val="0"/>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“东京御苑”项目位于金明大道与机场北路交叉口的东南地块。占地面积约46528.04</w:t>
      </w:r>
      <w:r>
        <w:rPr>
          <w:rFonts w:hint="eastAsia" w:ascii="仿宋" w:hAnsi="仿宋" w:eastAsia="仿宋" w:cs="仿宋"/>
          <w:color w:val="000000"/>
          <w:kern w:val="0"/>
          <w:sz w:val="32"/>
          <w:szCs w:val="32"/>
          <w:lang w:val="en-US" w:eastAsia="zh-CN" w:bidi="ar"/>
        </w:rPr>
        <w:t>m</w:t>
      </w:r>
      <w:r>
        <w:rPr>
          <w:rFonts w:hint="eastAsia" w:ascii="仿宋" w:hAnsi="仿宋" w:eastAsia="仿宋" w:cs="仿宋"/>
          <w:color w:val="000000"/>
          <w:kern w:val="0"/>
          <w:sz w:val="32"/>
          <w:szCs w:val="32"/>
          <w:vertAlign w:val="superscript"/>
          <w:lang w:val="en-US" w:eastAsia="zh-CN" w:bidi="ar"/>
        </w:rPr>
        <w:t>2</w:t>
      </w:r>
      <w:r>
        <w:rPr>
          <w:rFonts w:hint="eastAsia" w:ascii="仿宋_GB2312" w:hAnsi="仿宋_GB2312" w:eastAsia="仿宋_GB2312" w:cs="仿宋_GB2312"/>
          <w:sz w:val="32"/>
          <w:szCs w:val="32"/>
          <w:lang w:val="en-US" w:eastAsia="zh-CN"/>
        </w:rPr>
        <w:t>，全部为永久占地，总核定建筑面积 153956.71</w:t>
      </w:r>
      <w:r>
        <w:rPr>
          <w:rFonts w:hint="eastAsia" w:ascii="仿宋" w:hAnsi="仿宋" w:eastAsia="仿宋" w:cs="仿宋"/>
          <w:color w:val="000000"/>
          <w:kern w:val="0"/>
          <w:sz w:val="32"/>
          <w:szCs w:val="32"/>
          <w:lang w:val="en-US" w:eastAsia="zh-CN" w:bidi="ar"/>
        </w:rPr>
        <w:t>m</w:t>
      </w:r>
      <w:r>
        <w:rPr>
          <w:rFonts w:hint="eastAsia" w:ascii="仿宋" w:hAnsi="仿宋" w:eastAsia="仿宋" w:cs="仿宋"/>
          <w:color w:val="000000"/>
          <w:kern w:val="0"/>
          <w:sz w:val="32"/>
          <w:szCs w:val="32"/>
          <w:vertAlign w:val="superscript"/>
          <w:lang w:val="en-US" w:eastAsia="zh-CN" w:bidi="ar"/>
        </w:rPr>
        <w:t>2</w:t>
      </w:r>
      <w:r>
        <w:rPr>
          <w:rFonts w:hint="eastAsia" w:ascii="仿宋_GB2312" w:hAnsi="仿宋_GB2312" w:eastAsia="仿宋_GB2312" w:cs="仿宋_GB2312"/>
          <w:sz w:val="32"/>
          <w:szCs w:val="32"/>
          <w:lang w:val="en-US" w:eastAsia="zh-CN"/>
        </w:rPr>
        <w:t>。该小区建设住房共计 10 栋楼，约 657 套（一期 352 套正在建设中，二期拟建 305 套），住宅建筑面积共计80866.10</w:t>
      </w:r>
      <w:r>
        <w:rPr>
          <w:rFonts w:hint="eastAsia" w:ascii="仿宋" w:hAnsi="仿宋" w:eastAsia="仿宋" w:cs="仿宋"/>
          <w:color w:val="000000"/>
          <w:kern w:val="0"/>
          <w:sz w:val="32"/>
          <w:szCs w:val="32"/>
          <w:lang w:val="en-US" w:eastAsia="zh-CN" w:bidi="ar"/>
        </w:rPr>
        <w:t>m</w:t>
      </w:r>
      <w:r>
        <w:rPr>
          <w:rFonts w:hint="eastAsia" w:ascii="仿宋" w:hAnsi="仿宋" w:eastAsia="仿宋" w:cs="仿宋"/>
          <w:color w:val="000000"/>
          <w:kern w:val="0"/>
          <w:sz w:val="32"/>
          <w:szCs w:val="32"/>
          <w:vertAlign w:val="superscript"/>
          <w:lang w:val="en-US" w:eastAsia="zh-CN" w:bidi="ar"/>
        </w:rPr>
        <w:t>2</w:t>
      </w:r>
      <w:r>
        <w:rPr>
          <w:rFonts w:hint="eastAsia" w:ascii="仿宋_GB2312" w:hAnsi="仿宋_GB2312" w:eastAsia="仿宋_GB2312" w:cs="仿宋_GB2312"/>
          <w:sz w:val="32"/>
          <w:szCs w:val="32"/>
          <w:lang w:val="en-US" w:eastAsia="zh-CN"/>
        </w:rPr>
        <w:t>商业面积共计 23509.01</w:t>
      </w:r>
      <w:r>
        <w:rPr>
          <w:rFonts w:hint="eastAsia" w:ascii="仿宋" w:hAnsi="仿宋" w:eastAsia="仿宋" w:cs="仿宋"/>
          <w:color w:val="000000"/>
          <w:kern w:val="0"/>
          <w:sz w:val="32"/>
          <w:szCs w:val="32"/>
          <w:lang w:val="en-US" w:eastAsia="zh-CN" w:bidi="ar"/>
        </w:rPr>
        <w:t>m</w:t>
      </w:r>
      <w:r>
        <w:rPr>
          <w:rFonts w:hint="eastAsia" w:ascii="仿宋" w:hAnsi="仿宋" w:eastAsia="仿宋" w:cs="仿宋"/>
          <w:color w:val="000000"/>
          <w:kern w:val="0"/>
          <w:sz w:val="32"/>
          <w:szCs w:val="32"/>
          <w:vertAlign w:val="superscript"/>
          <w:lang w:val="en-US" w:eastAsia="zh-CN" w:bidi="ar"/>
        </w:rPr>
        <w:t>2</w:t>
      </w:r>
      <w:r>
        <w:rPr>
          <w:rFonts w:hint="eastAsia" w:ascii="仿宋_GB2312" w:hAnsi="仿宋_GB2312" w:eastAsia="仿宋_GB2312" w:cs="仿宋_GB2312"/>
          <w:sz w:val="32"/>
          <w:szCs w:val="32"/>
          <w:lang w:val="en-US" w:eastAsia="zh-CN"/>
        </w:rPr>
        <w:t xml:space="preserve"> ， 地下机动车车库共计26988.40</w:t>
      </w:r>
      <w:r>
        <w:rPr>
          <w:rFonts w:hint="eastAsia" w:ascii="仿宋" w:hAnsi="仿宋" w:eastAsia="仿宋" w:cs="仿宋"/>
          <w:color w:val="000000"/>
          <w:kern w:val="0"/>
          <w:sz w:val="32"/>
          <w:szCs w:val="32"/>
          <w:lang w:val="en-US" w:eastAsia="zh-CN" w:bidi="ar"/>
        </w:rPr>
        <w:t>m</w:t>
      </w:r>
      <w:r>
        <w:rPr>
          <w:rFonts w:hint="eastAsia" w:ascii="仿宋" w:hAnsi="仿宋" w:eastAsia="仿宋" w:cs="仿宋"/>
          <w:color w:val="000000"/>
          <w:kern w:val="0"/>
          <w:sz w:val="32"/>
          <w:szCs w:val="32"/>
          <w:vertAlign w:val="superscript"/>
          <w:lang w:val="en-US" w:eastAsia="zh-CN" w:bidi="ar"/>
        </w:rPr>
        <w:t>2</w:t>
      </w:r>
      <w:r>
        <w:rPr>
          <w:rFonts w:hint="eastAsia" w:ascii="仿宋_GB2312" w:hAnsi="仿宋_GB2312" w:eastAsia="仿宋_GB2312" w:cs="仿宋_GB2312"/>
          <w:sz w:val="32"/>
          <w:szCs w:val="32"/>
          <w:lang w:val="en-US" w:eastAsia="zh-CN"/>
        </w:rPr>
        <w:t>，机动车库共计 6894.77</w:t>
      </w:r>
      <w:r>
        <w:rPr>
          <w:rFonts w:hint="eastAsia" w:ascii="仿宋" w:hAnsi="仿宋" w:eastAsia="仿宋" w:cs="仿宋"/>
          <w:color w:val="000000"/>
          <w:kern w:val="0"/>
          <w:sz w:val="32"/>
          <w:szCs w:val="32"/>
          <w:lang w:val="en-US" w:eastAsia="zh-CN" w:bidi="ar"/>
        </w:rPr>
        <w:t>m</w:t>
      </w:r>
      <w:r>
        <w:rPr>
          <w:rFonts w:hint="eastAsia" w:ascii="仿宋" w:hAnsi="仿宋" w:eastAsia="仿宋" w:cs="仿宋"/>
          <w:color w:val="000000"/>
          <w:kern w:val="0"/>
          <w:sz w:val="32"/>
          <w:szCs w:val="32"/>
          <w:vertAlign w:val="superscript"/>
          <w:lang w:val="en-US" w:eastAsia="zh-CN" w:bidi="ar"/>
        </w:rPr>
        <w:t>2</w:t>
      </w:r>
      <w:r>
        <w:rPr>
          <w:rFonts w:hint="eastAsia" w:ascii="仿宋_GB2312" w:hAnsi="仿宋_GB2312" w:eastAsia="仿宋_GB2312" w:cs="仿宋_GB2312"/>
          <w:sz w:val="32"/>
          <w:szCs w:val="32"/>
          <w:lang w:val="en-US"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项目总投资 25000 万元，其中土建投资 15570 万元。 </w:t>
      </w:r>
    </w:p>
    <w:p>
      <w:pPr>
        <w:adjustRightInd w:val="0"/>
        <w:snapToGrid w:val="0"/>
        <w:spacing w:line="600" w:lineRule="exact"/>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项目建设期共 55 个月，项目2016年6月开始施工，于2020 年12月竣工验收</w:t>
      </w:r>
      <w:r>
        <w:rPr>
          <w:rFonts w:hint="eastAsia" w:ascii="仿宋_GB2312" w:hAnsi="仿宋_GB2312" w:eastAsia="仿宋_GB2312" w:cs="仿宋_GB2312"/>
          <w:sz w:val="32"/>
          <w:szCs w:val="32"/>
          <w:lang w:val="en-US" w:eastAsia="zh-CN"/>
        </w:rPr>
        <w:t>。</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，符合开发建设项目有关技术规范的规定和要求，可作为下阶段水土保持工作的依据。</w:t>
      </w: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根据水土流失预测，</w:t>
      </w:r>
      <w:r>
        <w:rPr>
          <w:rFonts w:hint="eastAsia" w:ascii="仿宋_GB2312" w:hAnsi="仿宋_GB2312" w:eastAsia="仿宋_GB2312" w:cs="仿宋_GB2312"/>
          <w:sz w:val="32"/>
          <w:szCs w:val="32"/>
          <w:lang w:val="en-US" w:eastAsia="zh-CN"/>
        </w:rPr>
        <w:t xml:space="preserve">项目建设过程中可能产生的土壤流失总量709.6t， </w:t>
      </w:r>
    </w:p>
    <w:p>
      <w:pPr>
        <w:adjustRightInd w:val="0"/>
        <w:snapToGrid w:val="0"/>
        <w:spacing w:line="600" w:lineRule="exact"/>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可能产生的新增土壤流失量658.2t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本项目执行北方土石山区一级防治标准，结合本项目的工程特点、水土流失影响因子（干旱程度、土壤侵蚀强度、地形地貌和是否在城市区等）及第三章限制性规定等因素调整相关目标值，综合确定</w:t>
      </w:r>
      <w:r>
        <w:rPr>
          <w:rFonts w:hint="eastAsia" w:ascii="仿宋_GB2312" w:hAnsi="仿宋_GB2312" w:eastAsia="仿宋_GB2312" w:cs="仿宋_GB2312"/>
          <w:sz w:val="32"/>
          <w:szCs w:val="32"/>
          <w:lang w:eastAsia="zh-CN"/>
        </w:rPr>
        <w:t>各防治区设计水平年应达到的水土流失防治目标值。</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五、同意该项目</w:t>
      </w:r>
      <w:r>
        <w:rPr>
          <w:rFonts w:hint="eastAsia" w:ascii="仿宋_GB2312" w:hAnsi="仿宋_GB2312" w:eastAsia="仿宋_GB2312" w:cs="仿宋_GB2312"/>
          <w:sz w:val="32"/>
          <w:szCs w:val="32"/>
          <w:lang w:val="en-US" w:eastAsia="zh-CN"/>
        </w:rPr>
        <w:t>本项目水土流失防治责任范围。工程在建设施工过程中，由于建筑基础、管线开挖及取土、弃土弃渣的堆放</w:t>
      </w:r>
      <w:r>
        <w:rPr>
          <w:rFonts w:hint="default" w:ascii="仿宋_GB2312" w:hAnsi="仿宋_GB2312" w:eastAsia="仿宋_GB2312" w:cs="仿宋_GB2312"/>
          <w:sz w:val="32"/>
          <w:szCs w:val="32"/>
          <w:lang w:val="en-US" w:eastAsia="zh-CN"/>
        </w:rPr>
        <w:t>等活动影响，使原有地形、地貌受到不同程度的扰动，导致土地降低或丧失水土 保持功能。根据调查分析，工程建设扰动原地貌面积为 46528.04m</w:t>
      </w:r>
      <w:r>
        <w:rPr>
          <w:rFonts w:hint="default" w:ascii="仿宋_GB2312" w:hAnsi="仿宋_GB2312" w:eastAsia="仿宋_GB2312" w:cs="仿宋_GB2312"/>
          <w:sz w:val="32"/>
          <w:szCs w:val="32"/>
          <w:vertAlign w:val="superscript"/>
          <w:lang w:val="en-US" w:eastAsia="zh-CN"/>
        </w:rPr>
        <w:t>2</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七、同意水土保持报告表实施进度安排，要严格按照批复的水土保持方案所确定的进度组织实施水土保持工程。</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八、同意投资概算的编制依据，原则和方法。</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项目水土保持工程概算总投资为111.3万元，其中工程措施投资7.01万元，</w:t>
      </w:r>
      <w:r>
        <w:rPr>
          <w:rFonts w:hint="default" w:ascii="仿宋_GB2312" w:hAnsi="仿宋_GB2312" w:eastAsia="仿宋_GB2312" w:cs="仿宋_GB2312"/>
          <w:sz w:val="32"/>
          <w:szCs w:val="32"/>
          <w:lang w:val="en-US" w:eastAsia="zh-CN"/>
        </w:rPr>
        <w:t>植物措施投资60万元，临时工程投资 8.50万元，独立费用29.5</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万元，预备费6.30 万元。</w:t>
      </w:r>
    </w:p>
    <w:p>
      <w:pPr>
        <w:keepNext w:val="0"/>
        <w:keepLines w:val="0"/>
        <w:widowControl/>
        <w:suppressLineNumbers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本项目水土保持补偿费免征情况说明：根据河南省水土保持补偿费征收管理办法（豫财综〔2015〕107 号）第十二条规定： </w:t>
      </w:r>
      <w:r>
        <w:rPr>
          <w:rFonts w:hint="default" w:ascii="仿宋" w:hAnsi="仿宋" w:eastAsia="仿宋" w:cs="仿宋"/>
          <w:kern w:val="2"/>
          <w:sz w:val="32"/>
          <w:szCs w:val="32"/>
          <w:lang w:val="en-US" w:eastAsia="zh-CN" w:bidi="ar-SA"/>
        </w:rPr>
        <w:t>建设保障性安居工程、市政生态环境保护基础设施项目的，免征水土保持补偿费。根据</w:t>
      </w:r>
      <w:r>
        <w:rPr>
          <w:rFonts w:hint="eastAsia" w:ascii="仿宋" w:hAnsi="仿宋" w:eastAsia="仿宋" w:cs="仿宋"/>
          <w:kern w:val="2"/>
          <w:sz w:val="32"/>
          <w:szCs w:val="32"/>
          <w:lang w:val="en-US" w:eastAsia="zh-CN" w:bidi="ar-SA"/>
        </w:rPr>
        <w:t>《关于对“东京御园”棚户区改造安置房用经济适用房项目建议书的批复》（汴发改城镇〔2013〕702号）及《开封市人民政府专题会议纪要〔2011〕12号》文件</w:t>
      </w:r>
      <w:r>
        <w:rPr>
          <w:rFonts w:hint="default" w:ascii="仿宋" w:hAnsi="仿宋" w:eastAsia="仿宋" w:cs="仿宋"/>
          <w:kern w:val="2"/>
          <w:sz w:val="32"/>
          <w:szCs w:val="32"/>
          <w:lang w:val="en-US" w:eastAsia="zh-CN" w:bidi="ar-SA"/>
        </w:rPr>
        <w:t>认定本项目为保障房项目，因此本项目水土保持补偿费不再计列。</w:t>
      </w:r>
    </w:p>
    <w:p>
      <w:pPr>
        <w:pStyle w:val="15"/>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5"/>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left"/>
        <w:rPr>
          <w:rFonts w:eastAsia="仿宋_GB2312"/>
          <w:sz w:val="32"/>
          <w:szCs w:val="32"/>
        </w:rPr>
      </w:pPr>
      <w:r>
        <w:rPr>
          <w:rFonts w:hint="eastAsia" w:eastAsia="仿宋_GB2312"/>
          <w:sz w:val="32"/>
          <w:szCs w:val="32"/>
          <w:lang w:val="en-US" w:eastAsia="zh-CN"/>
        </w:rPr>
        <w:t>2</w:t>
      </w:r>
      <w:r>
        <w:rPr>
          <w:rFonts w:eastAsia="仿宋_GB2312"/>
          <w:sz w:val="32"/>
          <w:szCs w:val="32"/>
        </w:rPr>
        <w:t>、</w:t>
      </w:r>
      <w:r>
        <w:rPr>
          <w:rFonts w:hint="eastAsia" w:eastAsia="仿宋_GB2312"/>
          <w:sz w:val="32"/>
          <w:szCs w:val="32"/>
        </w:rPr>
        <w:t>在主体工程竣工前，要切实落实国务院国发〔2017〕46号文件和水利部水保〔2017〕365号文件要求，尽快组织开展水土保持设施自主验收工作。要严格遵循水土保持标准、规范、规程确定的验收标准和条件，召开验收会议并形成水土保持设施验收鉴定书，在通过官方网站或其他便于公众知悉的方式向社会公开水土保持设施验收鉴定书等材料后，生产建设项目投产使用前，向我局报备水土保持设施验收材料。逾期不验收的水土保持设施，不得投入使用。</w:t>
      </w:r>
    </w:p>
    <w:p>
      <w:pPr>
        <w:pStyle w:val="15"/>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sz w:val="32"/>
          <w:szCs w:val="32"/>
        </w:rPr>
        <w:t xml:space="preserve">             </w:t>
      </w:r>
    </w:p>
    <w:p>
      <w:pPr>
        <w:pStyle w:val="15"/>
        <w:ind w:left="0" w:lef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pStyle w:val="15"/>
        <w:ind w:left="0" w:leftChars="0" w:firstLine="0" w:firstLineChars="0"/>
        <w:jc w:val="both"/>
        <w:rPr>
          <w:rFonts w:hint="eastAsia" w:ascii="仿宋_GB2312" w:hAnsi="仿宋_GB2312" w:eastAsia="仿宋_GB2312" w:cs="仿宋_GB2312"/>
          <w:sz w:val="32"/>
          <w:szCs w:val="32"/>
          <w:lang w:val="en-US" w:eastAsia="zh-CN"/>
        </w:rPr>
      </w:pPr>
    </w:p>
    <w:p>
      <w:pPr>
        <w:pStyle w:val="1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pStyle w:val="15"/>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32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08753F"/>
    <w:rsid w:val="07352E93"/>
    <w:rsid w:val="079C0F8C"/>
    <w:rsid w:val="0813721F"/>
    <w:rsid w:val="092D073A"/>
    <w:rsid w:val="09B03D12"/>
    <w:rsid w:val="0B6A191F"/>
    <w:rsid w:val="0B7C7AC3"/>
    <w:rsid w:val="0C03010A"/>
    <w:rsid w:val="0E007950"/>
    <w:rsid w:val="0EA207A0"/>
    <w:rsid w:val="0EB86C92"/>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2337F66"/>
    <w:rsid w:val="326A7616"/>
    <w:rsid w:val="32D60B60"/>
    <w:rsid w:val="3451670F"/>
    <w:rsid w:val="348D6FB9"/>
    <w:rsid w:val="34E95FAA"/>
    <w:rsid w:val="352C7AC3"/>
    <w:rsid w:val="368D5856"/>
    <w:rsid w:val="36DA4DDC"/>
    <w:rsid w:val="39C66480"/>
    <w:rsid w:val="3A5D72AB"/>
    <w:rsid w:val="3BC073D5"/>
    <w:rsid w:val="3C12213E"/>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7151EA"/>
    <w:rsid w:val="4CA648F6"/>
    <w:rsid w:val="4D006F52"/>
    <w:rsid w:val="4D237B78"/>
    <w:rsid w:val="4DEF1B0D"/>
    <w:rsid w:val="4ED737F8"/>
    <w:rsid w:val="4F9F3D57"/>
    <w:rsid w:val="5002086B"/>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394295"/>
    <w:rsid w:val="604C3AA4"/>
    <w:rsid w:val="60CA6DD7"/>
    <w:rsid w:val="622D74D9"/>
    <w:rsid w:val="631378CD"/>
    <w:rsid w:val="63331C7D"/>
    <w:rsid w:val="63D349E0"/>
    <w:rsid w:val="65E54476"/>
    <w:rsid w:val="66D87237"/>
    <w:rsid w:val="6785488D"/>
    <w:rsid w:val="67964820"/>
    <w:rsid w:val="67C85638"/>
    <w:rsid w:val="682F36E3"/>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0D6AB1"/>
    <w:rsid w:val="71763B55"/>
    <w:rsid w:val="722D6062"/>
    <w:rsid w:val="727542DB"/>
    <w:rsid w:val="730C5E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0"/>
    <w:qFormat/>
    <w:uiPriority w:val="0"/>
    <w:pPr>
      <w:tabs>
        <w:tab w:val="right" w:pos="840"/>
      </w:tabs>
      <w:spacing w:line="360" w:lineRule="auto"/>
      <w:ind w:firstLine="233"/>
    </w:pPr>
    <w:rPr>
      <w:rFonts w:ascii="宋体" w:hAnsi="宋体"/>
      <w:kern w:val="0"/>
      <w:sz w:val="24"/>
      <w:szCs w:val="28"/>
    </w:rPr>
  </w:style>
  <w:style w:type="paragraph" w:styleId="3">
    <w:name w:val="Date"/>
    <w:basedOn w:val="1"/>
    <w:next w:val="1"/>
    <w:link w:val="21"/>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rFonts w:ascii="Times New Roman" w:hAnsi="Times New Roman" w:eastAsia="宋体" w:cs="Times New Roman"/>
      <w:sz w:val="24"/>
      <w:szCs w:val="24"/>
    </w:rPr>
  </w:style>
  <w:style w:type="paragraph" w:customStyle="1" w:styleId="10">
    <w:name w:val="p0"/>
    <w:basedOn w:val="1"/>
    <w:qFormat/>
    <w:uiPriority w:val="0"/>
    <w:pPr>
      <w:widowControl/>
    </w:pPr>
    <w:rPr>
      <w:kern w:val="0"/>
      <w:szCs w:val="21"/>
    </w:rPr>
  </w:style>
  <w:style w:type="paragraph" w:customStyle="1" w:styleId="11">
    <w:name w:val="p15"/>
    <w:basedOn w:val="1"/>
    <w:qFormat/>
    <w:uiPriority w:val="0"/>
    <w:pPr>
      <w:widowControl/>
    </w:pPr>
    <w:rPr>
      <w:rFonts w:ascii="宋体" w:hAnsi="宋体" w:cs="宋体"/>
      <w:kern w:val="0"/>
      <w:szCs w:val="21"/>
    </w:rPr>
  </w:style>
  <w:style w:type="character" w:customStyle="1" w:styleId="12">
    <w:name w:val="页眉 Char"/>
    <w:basedOn w:val="9"/>
    <w:link w:val="6"/>
    <w:qFormat/>
    <w:uiPriority w:val="99"/>
    <w:rPr>
      <w:rFonts w:ascii="Times New Roman" w:hAnsi="Times New Roman"/>
      <w:kern w:val="2"/>
      <w:sz w:val="18"/>
      <w:szCs w:val="18"/>
    </w:rPr>
  </w:style>
  <w:style w:type="character" w:customStyle="1" w:styleId="13">
    <w:name w:val="页脚 Char"/>
    <w:basedOn w:val="9"/>
    <w:link w:val="5"/>
    <w:qFormat/>
    <w:uiPriority w:val="99"/>
    <w:rPr>
      <w:rFonts w:ascii="Times New Roman" w:hAnsi="Times New Roman"/>
      <w:kern w:val="2"/>
      <w:sz w:val="18"/>
      <w:szCs w:val="18"/>
    </w:rPr>
  </w:style>
  <w:style w:type="paragraph" w:customStyle="1" w:styleId="14">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5">
    <w:name w:val="样式 四号 行距: 1.5 倍行距"/>
    <w:basedOn w:val="1"/>
    <w:link w:val="19"/>
    <w:qFormat/>
    <w:uiPriority w:val="0"/>
    <w:pPr>
      <w:adjustRightInd w:val="0"/>
      <w:snapToGrid w:val="0"/>
      <w:spacing w:line="360" w:lineRule="auto"/>
      <w:ind w:firstLine="480"/>
    </w:pPr>
    <w:rPr>
      <w:rFonts w:cs="宋体"/>
      <w:sz w:val="24"/>
      <w:szCs w:val="24"/>
    </w:rPr>
  </w:style>
  <w:style w:type="paragraph" w:customStyle="1" w:styleId="16">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7">
    <w:name w:val="List Paragraph"/>
    <w:basedOn w:val="1"/>
    <w:qFormat/>
    <w:uiPriority w:val="99"/>
    <w:pPr>
      <w:ind w:firstLine="420" w:firstLineChars="200"/>
    </w:pPr>
  </w:style>
  <w:style w:type="character" w:customStyle="1" w:styleId="18">
    <w:name w:val="批注框文本 Char"/>
    <w:basedOn w:val="9"/>
    <w:link w:val="4"/>
    <w:qFormat/>
    <w:uiPriority w:val="0"/>
    <w:rPr>
      <w:rFonts w:ascii="Times New Roman" w:hAnsi="Times New Roman"/>
      <w:kern w:val="2"/>
      <w:sz w:val="18"/>
      <w:szCs w:val="18"/>
    </w:rPr>
  </w:style>
  <w:style w:type="character" w:customStyle="1" w:styleId="19">
    <w:name w:val="样式 四号 行距: 1.5 倍行距 Char"/>
    <w:link w:val="15"/>
    <w:qFormat/>
    <w:uiPriority w:val="0"/>
    <w:rPr>
      <w:rFonts w:ascii="Times New Roman" w:hAnsi="Times New Roman" w:cs="宋体"/>
      <w:kern w:val="2"/>
      <w:sz w:val="24"/>
      <w:szCs w:val="24"/>
    </w:rPr>
  </w:style>
  <w:style w:type="character" w:customStyle="1" w:styleId="20">
    <w:name w:val="正文缩进 Char"/>
    <w:link w:val="2"/>
    <w:qFormat/>
    <w:uiPriority w:val="0"/>
    <w:rPr>
      <w:rFonts w:ascii="宋体" w:hAnsi="宋体"/>
      <w:sz w:val="24"/>
      <w:szCs w:val="28"/>
    </w:rPr>
  </w:style>
  <w:style w:type="character" w:customStyle="1" w:styleId="21">
    <w:name w:val="日期 Char"/>
    <w:basedOn w:val="9"/>
    <w:link w:val="3"/>
    <w:qFormat/>
    <w:uiPriority w:val="0"/>
    <w:rPr>
      <w:rFonts w:ascii="Times New Roman" w:hAnsi="Times New Roman"/>
      <w:kern w:val="2"/>
      <w:sz w:val="21"/>
    </w:rPr>
  </w:style>
  <w:style w:type="character" w:customStyle="1" w:styleId="22">
    <w:name w:val="样式 (符号) 宋体 小四 黑色"/>
    <w:qFormat/>
    <w:uiPriority w:val="0"/>
    <w:rPr>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12</TotalTime>
  <ScaleCrop>false</ScaleCrop>
  <LinksUpToDate>false</LinksUpToDate>
  <CharactersWithSpaces>2740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踊跃</cp:lastModifiedBy>
  <cp:lastPrinted>2020-07-20T03:06:00Z</cp:lastPrinted>
  <dcterms:modified xsi:type="dcterms:W3CDTF">2020-07-22T09:45:19Z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