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line="580" w:lineRule="exact"/>
        <w:jc w:val="center"/>
        <w:rPr>
          <w:rFonts w:ascii="Times New Roman" w:hAnsi="Times New Roman" w:eastAsia="华文中宋" w:cs="Times New Roman"/>
          <w:b/>
          <w:bCs/>
          <w:sz w:val="52"/>
          <w:szCs w:val="52"/>
        </w:rPr>
      </w:pPr>
    </w:p>
    <w:p>
      <w:pPr>
        <w:pStyle w:val="13"/>
        <w:spacing w:line="580" w:lineRule="exact"/>
        <w:jc w:val="center"/>
        <w:rPr>
          <w:rFonts w:ascii="Times New Roman" w:hAnsi="Times New Roman" w:eastAsia="华文中宋" w:cs="Times New Roman"/>
          <w:b/>
          <w:bCs/>
          <w:sz w:val="52"/>
          <w:szCs w:val="5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0"/>
          <w:szCs w:val="30"/>
        </w:rPr>
      </w:pPr>
    </w:p>
    <w:p>
      <w:pPr>
        <w:ind w:firstLine="555"/>
        <w:jc w:val="center"/>
        <w:rPr>
          <w:rFonts w:eastAsia="仿宋_GB2312"/>
          <w:sz w:val="30"/>
          <w:szCs w:val="30"/>
        </w:rPr>
      </w:pPr>
    </w:p>
    <w:p>
      <w:pPr>
        <w:pStyle w:val="13"/>
        <w:spacing w:line="580" w:lineRule="exact"/>
        <w:jc w:val="center"/>
        <w:rPr>
          <w:rFonts w:ascii="Times New Roman" w:hAnsi="Times New Roman" w:eastAsia="华文中宋" w:cs="Times New Roman"/>
          <w:b/>
          <w:bCs/>
          <w:sz w:val="52"/>
          <w:szCs w:val="52"/>
        </w:rPr>
      </w:pPr>
      <w:r>
        <w:rPr>
          <w:rFonts w:ascii="Times New Roman" w:hAnsi="Times New Roman" w:eastAsia="华文中宋" w:cs="Times New Roman"/>
          <w:b/>
          <w:bCs/>
          <w:sz w:val="52"/>
          <w:szCs w:val="52"/>
        </w:rPr>
        <w:t>开封市水利局</w:t>
      </w:r>
    </w:p>
    <w:p>
      <w:pPr>
        <w:pStyle w:val="13"/>
        <w:spacing w:line="580" w:lineRule="exact"/>
        <w:jc w:val="center"/>
        <w:rPr>
          <w:rFonts w:ascii="Times New Roman" w:hAnsi="Times New Roman" w:eastAsia="华文中宋" w:cs="Times New Roman"/>
          <w:b/>
          <w:bCs/>
          <w:sz w:val="52"/>
          <w:szCs w:val="52"/>
        </w:rPr>
      </w:pPr>
      <w:r>
        <w:rPr>
          <w:rFonts w:ascii="Times New Roman" w:hAnsi="Times New Roman" w:eastAsia="华文中宋" w:cs="Times New Roman"/>
          <w:b/>
          <w:bCs/>
          <w:sz w:val="52"/>
          <w:szCs w:val="52"/>
        </w:rPr>
        <w:t>准予水行政许可决定书</w:t>
      </w:r>
    </w:p>
    <w:p>
      <w:pPr>
        <w:pStyle w:val="13"/>
        <w:spacing w:line="580" w:lineRule="exact"/>
        <w:rPr>
          <w:rFonts w:ascii="Times New Roman" w:hAnsi="Times New Roman" w:eastAsia="华文中宋" w:cs="Times New Roman"/>
          <w:b/>
          <w:bCs/>
          <w:sz w:val="52"/>
          <w:szCs w:val="52"/>
        </w:rPr>
      </w:pPr>
    </w:p>
    <w:p>
      <w:pPr>
        <w:ind w:firstLine="4480" w:firstLineChars="1400"/>
        <w:rPr>
          <w:sz w:val="32"/>
          <w:szCs w:val="32"/>
        </w:rPr>
      </w:pPr>
      <w:r>
        <w:rPr>
          <w:sz w:val="32"/>
          <w:szCs w:val="32"/>
        </w:rPr>
        <w:t>汴水行许字〔2020〕</w:t>
      </w:r>
      <w:r>
        <w:rPr>
          <w:rFonts w:hint="eastAsia"/>
          <w:sz w:val="32"/>
          <w:szCs w:val="32"/>
          <w:lang w:val="en-US" w:eastAsia="zh-CN"/>
        </w:rPr>
        <w:t>32</w:t>
      </w:r>
      <w:r>
        <w:rPr>
          <w:rFonts w:hint="eastAsia"/>
          <w:sz w:val="32"/>
          <w:szCs w:val="32"/>
        </w:rPr>
        <w:t xml:space="preserve">  </w:t>
      </w:r>
      <w:r>
        <w:rPr>
          <w:sz w:val="32"/>
          <w:szCs w:val="32"/>
        </w:rPr>
        <w:t>号</w:t>
      </w:r>
    </w:p>
    <w:p>
      <w:pPr>
        <w:pStyle w:val="12"/>
        <w:rPr>
          <w:kern w:val="2"/>
          <w:sz w:val="32"/>
          <w:szCs w:val="32"/>
        </w:rPr>
      </w:pPr>
    </w:p>
    <w:p>
      <w:pPr>
        <w:autoSpaceDE w:val="0"/>
        <w:autoSpaceDN w:val="0"/>
        <w:adjustRightInd w:val="0"/>
        <w:spacing w:before="442" w:line="586" w:lineRule="exact"/>
        <w:jc w:val="left"/>
        <w:rPr>
          <w:rFonts w:eastAsia="仿宋_GB2312"/>
          <w:sz w:val="32"/>
          <w:szCs w:val="32"/>
        </w:rPr>
      </w:pPr>
      <w:r>
        <w:rPr>
          <w:rFonts w:eastAsia="仿宋_GB2312"/>
          <w:sz w:val="32"/>
          <w:szCs w:val="32"/>
        </w:rPr>
        <w:t>许可事项：</w:t>
      </w:r>
      <w:r>
        <w:rPr>
          <w:rFonts w:hint="eastAsia" w:eastAsia="仿宋"/>
          <w:sz w:val="32"/>
          <w:szCs w:val="32"/>
        </w:rPr>
        <w:t>开封市旭日东升门业有限公司年产一万樘防火门项目水土保持方案报告表</w:t>
      </w:r>
      <w:r>
        <w:rPr>
          <w:rFonts w:eastAsia="仿宋"/>
          <w:sz w:val="32"/>
          <w:szCs w:val="32"/>
        </w:rPr>
        <w:t>的审批</w:t>
      </w:r>
    </w:p>
    <w:p>
      <w:pPr>
        <w:adjustRightInd w:val="0"/>
        <w:snapToGrid w:val="0"/>
        <w:spacing w:line="360" w:lineRule="auto"/>
        <w:rPr>
          <w:rFonts w:eastAsia="仿宋_GB2312"/>
          <w:sz w:val="32"/>
          <w:szCs w:val="32"/>
        </w:rPr>
      </w:pPr>
    </w:p>
    <w:p>
      <w:pPr>
        <w:adjustRightInd w:val="0"/>
        <w:snapToGrid w:val="0"/>
        <w:spacing w:line="600" w:lineRule="exact"/>
        <w:rPr>
          <w:rFonts w:eastAsia="仿宋_GB2312"/>
          <w:sz w:val="32"/>
          <w:szCs w:val="32"/>
        </w:rPr>
      </w:pPr>
      <w:r>
        <w:rPr>
          <w:rFonts w:hint="eastAsia" w:eastAsia="仿宋_GB2312"/>
          <w:bCs/>
          <w:sz w:val="32"/>
          <w:szCs w:val="32"/>
        </w:rPr>
        <w:t>开封市旭日东升门业有限公司</w:t>
      </w:r>
      <w:r>
        <w:rPr>
          <w:rFonts w:eastAsia="仿宋_GB2312"/>
          <w:sz w:val="32"/>
          <w:szCs w:val="32"/>
        </w:rPr>
        <w:t>：</w:t>
      </w:r>
    </w:p>
    <w:p>
      <w:pPr>
        <w:adjustRightInd w:val="0"/>
        <w:snapToGrid w:val="0"/>
        <w:spacing w:line="600" w:lineRule="exact"/>
        <w:ind w:firstLine="800" w:firstLineChars="250"/>
        <w:rPr>
          <w:rFonts w:eastAsia="仿宋_GB2312"/>
          <w:sz w:val="32"/>
          <w:szCs w:val="32"/>
        </w:rPr>
      </w:pPr>
      <w:r>
        <w:rPr>
          <w:rFonts w:eastAsia="仿宋_GB2312"/>
          <w:sz w:val="32"/>
          <w:szCs w:val="32"/>
        </w:rPr>
        <w:t>本机关于2020年</w:t>
      </w:r>
      <w:r>
        <w:rPr>
          <w:rFonts w:eastAsia="仿宋_GB2312"/>
          <w:color w:val="auto"/>
          <w:sz w:val="32"/>
          <w:szCs w:val="32"/>
          <w:highlight w:val="none"/>
        </w:rPr>
        <w:t>7月1日</w:t>
      </w:r>
      <w:r>
        <w:rPr>
          <w:rFonts w:eastAsia="仿宋_GB2312"/>
          <w:sz w:val="32"/>
          <w:szCs w:val="32"/>
        </w:rPr>
        <w:t>受理你单位报送的《关于呈报&lt;</w:t>
      </w:r>
      <w:r>
        <w:rPr>
          <w:rFonts w:hint="eastAsia" w:eastAsia="仿宋"/>
          <w:sz w:val="32"/>
          <w:szCs w:val="32"/>
        </w:rPr>
        <w:t>开封市旭日东升门业有限公司年产一万樘防火门项目</w:t>
      </w:r>
      <w:r>
        <w:rPr>
          <w:rFonts w:eastAsia="仿宋_GB2312"/>
          <w:sz w:val="32"/>
          <w:szCs w:val="32"/>
        </w:rPr>
        <w:t>水土保持方案审批&gt;的请示》。经审查，该申请符合法定条件。根据《中华人民共和国行政许可法》第三十八条第一款、《水行政许可实施办法》第三十二条规定，按照《中华人民共和国水土保持法》第二十五条及其配套法规、技术规范的有关规定，《报告</w:t>
      </w:r>
      <w:r>
        <w:rPr>
          <w:rFonts w:hint="eastAsia" w:eastAsia="仿宋_GB2312"/>
          <w:sz w:val="32"/>
          <w:szCs w:val="32"/>
        </w:rPr>
        <w:t>表</w:t>
      </w:r>
      <w:r>
        <w:rPr>
          <w:rFonts w:eastAsia="仿宋_GB2312"/>
          <w:sz w:val="32"/>
          <w:szCs w:val="32"/>
        </w:rPr>
        <w:t>》以及专家审查意见，许可如下：</w:t>
      </w:r>
    </w:p>
    <w:p>
      <w:pPr>
        <w:pStyle w:val="12"/>
        <w:numPr>
          <w:ilvl w:val="0"/>
          <w:numId w:val="1"/>
        </w:numPr>
        <w:spacing w:line="600" w:lineRule="exact"/>
        <w:rPr>
          <w:rFonts w:eastAsia="仿宋_GB2312"/>
          <w:kern w:val="2"/>
          <w:sz w:val="32"/>
          <w:szCs w:val="32"/>
        </w:rPr>
      </w:pPr>
      <w:r>
        <w:rPr>
          <w:rFonts w:eastAsia="仿宋_GB2312"/>
          <w:kern w:val="2"/>
          <w:sz w:val="32"/>
          <w:szCs w:val="32"/>
        </w:rPr>
        <w:t>项目概况:</w:t>
      </w:r>
    </w:p>
    <w:p>
      <w:pPr>
        <w:adjustRightInd w:val="0"/>
        <w:snapToGrid w:val="0"/>
        <w:spacing w:line="600" w:lineRule="exact"/>
        <w:ind w:firstLine="800" w:firstLineChars="250"/>
        <w:rPr>
          <w:rFonts w:eastAsia="仿宋_GB2312"/>
          <w:sz w:val="32"/>
          <w:szCs w:val="32"/>
        </w:rPr>
      </w:pPr>
      <w:r>
        <w:rPr>
          <w:rFonts w:hint="eastAsia" w:eastAsia="仿宋_GB2312"/>
          <w:sz w:val="32"/>
          <w:szCs w:val="32"/>
        </w:rPr>
        <w:t>该工程区位于开封市鼓楼区仙人庄办事处芦花岗转盘向南1500米路东，项目区交通条件优越，外来建筑材料、设备，基本上可直接运至施工现场。根据项目设计资料及现场实际调查，本工程总占地面积</w:t>
      </w:r>
      <w:r>
        <w:rPr>
          <w:rFonts w:eastAsia="仿宋_GB2312"/>
          <w:sz w:val="32"/>
          <w:szCs w:val="32"/>
        </w:rPr>
        <w:t>2.35</w:t>
      </w:r>
      <w:r>
        <w:rPr>
          <w:rFonts w:hint="eastAsia" w:eastAsia="仿宋_GB2312"/>
          <w:sz w:val="32"/>
          <w:szCs w:val="32"/>
        </w:rPr>
        <w:t>hm</w:t>
      </w:r>
      <w:r>
        <w:rPr>
          <w:rFonts w:hint="eastAsia" w:eastAsia="仿宋_GB2312"/>
          <w:sz w:val="32"/>
          <w:szCs w:val="32"/>
          <w:vertAlign w:val="superscript"/>
        </w:rPr>
        <w:t>2</w:t>
      </w:r>
      <w:r>
        <w:rPr>
          <w:rFonts w:hint="eastAsia" w:eastAsia="仿宋_GB2312"/>
          <w:sz w:val="32"/>
          <w:szCs w:val="32"/>
        </w:rPr>
        <w:t>，全部为永久占地；占地类型为工业工地。项目总投资为</w:t>
      </w:r>
      <w:r>
        <w:rPr>
          <w:rFonts w:eastAsia="仿宋_GB2312"/>
          <w:sz w:val="32"/>
          <w:szCs w:val="32"/>
        </w:rPr>
        <w:t>7500</w:t>
      </w:r>
      <w:r>
        <w:rPr>
          <w:rFonts w:hint="eastAsia" w:eastAsia="仿宋_GB2312"/>
          <w:sz w:val="32"/>
          <w:szCs w:val="32"/>
        </w:rPr>
        <w:t>万元，其中土建投资</w:t>
      </w:r>
      <w:r>
        <w:rPr>
          <w:rFonts w:eastAsia="仿宋_GB2312"/>
          <w:sz w:val="32"/>
          <w:szCs w:val="32"/>
        </w:rPr>
        <w:t>4500</w:t>
      </w:r>
      <w:r>
        <w:rPr>
          <w:rFonts w:hint="eastAsia" w:eastAsia="仿宋_GB2312"/>
          <w:sz w:val="32"/>
          <w:szCs w:val="32"/>
        </w:rPr>
        <w:t>万元。</w:t>
      </w:r>
    </w:p>
    <w:p>
      <w:pPr>
        <w:adjustRightInd w:val="0"/>
        <w:snapToGrid w:val="0"/>
        <w:spacing w:line="600" w:lineRule="exact"/>
        <w:ind w:firstLine="800" w:firstLineChars="250"/>
        <w:rPr>
          <w:rFonts w:eastAsia="仿宋_GB2312"/>
          <w:sz w:val="32"/>
          <w:szCs w:val="32"/>
        </w:rPr>
      </w:pPr>
      <w:r>
        <w:rPr>
          <w:rFonts w:hint="eastAsia" w:eastAsia="仿宋_GB2312"/>
          <w:sz w:val="32"/>
          <w:szCs w:val="32"/>
        </w:rPr>
        <w:t>项目已于2020年1月开工建设，计划于2020年7月完工；总工期7个月。由于本项目已开工建设，故方案为补报方案。</w:t>
      </w:r>
    </w:p>
    <w:p>
      <w:pPr>
        <w:adjustRightInd w:val="0"/>
        <w:snapToGrid w:val="0"/>
        <w:spacing w:line="600" w:lineRule="exact"/>
        <w:rPr>
          <w:rFonts w:eastAsia="仿宋_GB2312"/>
          <w:sz w:val="32"/>
          <w:szCs w:val="32"/>
        </w:rPr>
      </w:pPr>
      <w:r>
        <w:rPr>
          <w:rFonts w:eastAsia="仿宋_GB2312"/>
          <w:sz w:val="32"/>
          <w:szCs w:val="32"/>
        </w:rPr>
        <w:t xml:space="preserve">    二、报告</w:t>
      </w:r>
      <w:r>
        <w:rPr>
          <w:rFonts w:hint="eastAsia" w:eastAsia="仿宋_GB2312"/>
          <w:sz w:val="32"/>
          <w:szCs w:val="32"/>
        </w:rPr>
        <w:t>表</w:t>
      </w:r>
      <w:r>
        <w:rPr>
          <w:rFonts w:eastAsia="仿宋_GB2312"/>
          <w:sz w:val="32"/>
          <w:szCs w:val="32"/>
        </w:rPr>
        <w:t>依据充分，内容全面，水土流失范围和防治目标明确。水土保持分区及水土流失防治措施总体布局基本可行。经专家审查，符合开发建设项目有关技术规范的规定和要求，可作为下阶段水土保持工作的依据。</w:t>
      </w:r>
    </w:p>
    <w:p>
      <w:pPr>
        <w:pStyle w:val="17"/>
        <w:spacing w:line="600" w:lineRule="exact"/>
        <w:rPr>
          <w:rFonts w:eastAsia="仿宋_GB2312" w:cs="Times New Roman"/>
          <w:sz w:val="32"/>
          <w:szCs w:val="32"/>
        </w:rPr>
      </w:pPr>
      <w:r>
        <w:rPr>
          <w:rFonts w:eastAsia="仿宋_GB2312" w:cs="Times New Roman"/>
          <w:sz w:val="32"/>
          <w:szCs w:val="32"/>
        </w:rPr>
        <w:t xml:space="preserve"> 三、同意水土流失预测内容、方法和结果。根据水土流失预测，工程建设扰动地貌后可能造成土壤流失总量22.48t</w:t>
      </w:r>
      <w:r>
        <w:rPr>
          <w:rFonts w:hint="eastAsia" w:eastAsia="仿宋_GB2312" w:cs="Times New Roman"/>
          <w:sz w:val="32"/>
          <w:szCs w:val="32"/>
        </w:rPr>
        <w:t>，</w:t>
      </w:r>
      <w:r>
        <w:rPr>
          <w:rFonts w:eastAsia="仿宋_GB2312" w:cs="Times New Roman"/>
          <w:sz w:val="32"/>
          <w:szCs w:val="32"/>
        </w:rPr>
        <w:t>新增土壤流失总量18.20t，其中施工期新增13.56t，自然恢复期新增4.64t。</w:t>
      </w:r>
    </w:p>
    <w:p>
      <w:pPr>
        <w:pStyle w:val="4"/>
        <w:spacing w:after="0" w:line="240" w:lineRule="auto"/>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sz w:val="32"/>
          <w:szCs w:val="32"/>
        </w:rPr>
        <w:t xml:space="preserve"> </w:t>
      </w:r>
      <w:r>
        <w:rPr>
          <w:rFonts w:ascii="Times New Roman" w:hAnsi="Times New Roman" w:eastAsia="仿宋_GB2312" w:cs="Times New Roman"/>
          <w:kern w:val="2"/>
          <w:sz w:val="32"/>
          <w:szCs w:val="32"/>
          <w:lang w:val="en-US" w:eastAsia="zh-CN" w:bidi="ar-SA"/>
        </w:rPr>
        <w:t>四、同意本项目采用建设类项目Ⅰ级水土流失防治标准。对照《水土保持法》有关法律条文，本项目位于</w:t>
      </w:r>
      <w:r>
        <w:rPr>
          <w:rFonts w:hint="eastAsia" w:ascii="Times New Roman" w:hAnsi="Times New Roman" w:eastAsia="仿宋_GB2312" w:cs="Times New Roman"/>
          <w:kern w:val="2"/>
          <w:sz w:val="32"/>
          <w:szCs w:val="32"/>
          <w:lang w:val="en-US" w:eastAsia="zh-CN" w:bidi="ar-SA"/>
        </w:rPr>
        <w:t>黄泛平原防沙农田防护区，为省</w:t>
      </w:r>
      <w:r>
        <w:rPr>
          <w:rFonts w:ascii="Times New Roman" w:hAnsi="Times New Roman" w:eastAsia="仿宋_GB2312" w:cs="Times New Roman"/>
          <w:kern w:val="2"/>
          <w:sz w:val="32"/>
          <w:szCs w:val="32"/>
          <w:lang w:val="en-US" w:eastAsia="zh-CN" w:bidi="ar-SA"/>
        </w:rPr>
        <w:t>级水土流失重点预防区，本方案根据《水土保持法》和《生产建设项目水土流失防治标准》（GB/T 50434-2018）相关规定，采取相应措施，优化施工工艺</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采取北方土石山区一级防治标准进行补充和完善。</w:t>
      </w:r>
    </w:p>
    <w:p>
      <w:pPr>
        <w:pStyle w:val="3"/>
        <w:spacing w:line="520" w:lineRule="exact"/>
        <w:ind w:firstLine="640" w:firstLineChars="200"/>
        <w:rPr>
          <w:rFonts w:ascii="Times New Roman" w:hAnsi="Times New Roman" w:eastAsia="仿宋_GB2312"/>
          <w:b/>
          <w:bCs/>
          <w:color w:val="000000" w:themeColor="text1"/>
          <w:sz w:val="32"/>
          <w:szCs w:val="32"/>
          <w14:textFill>
            <w14:solidFill>
              <w14:schemeClr w14:val="tx1"/>
            </w14:solidFill>
          </w14:textFill>
        </w:rPr>
      </w:pPr>
      <w:r>
        <w:rPr>
          <w:rFonts w:ascii="Times New Roman" w:hAnsi="Times New Roman" w:eastAsia="仿宋_GB2312"/>
          <w:sz w:val="32"/>
          <w:szCs w:val="32"/>
        </w:rPr>
        <w:t>五、</w:t>
      </w:r>
      <w:r>
        <w:rPr>
          <w:rFonts w:ascii="Times New Roman" w:hAnsi="Times New Roman" w:eastAsia="仿宋_GB2312"/>
          <w:color w:val="000000" w:themeColor="text1"/>
          <w:sz w:val="32"/>
          <w:szCs w:val="32"/>
          <w14:textFill>
            <w14:solidFill>
              <w14:schemeClr w14:val="tx1"/>
            </w14:solidFill>
          </w14:textFill>
        </w:rPr>
        <w:t>同</w:t>
      </w:r>
      <w:r>
        <w:rPr>
          <w:rFonts w:ascii="Times New Roman" w:hAnsi="Times New Roman" w:eastAsia="仿宋_GB2312"/>
          <w:kern w:val="2"/>
          <w:sz w:val="32"/>
          <w:szCs w:val="32"/>
        </w:rPr>
        <w:t>意本本项目水土流失防治责任范围总占地面积2.35</w:t>
      </w:r>
      <w:r>
        <w:rPr>
          <w:rFonts w:hint="eastAsia" w:ascii="Times New Roman" w:hAnsi="Times New Roman" w:eastAsia="仿宋_GB2312"/>
          <w:kern w:val="2"/>
          <w:sz w:val="32"/>
          <w:szCs w:val="32"/>
        </w:rPr>
        <w:t>hm</w:t>
      </w:r>
      <w:r>
        <w:rPr>
          <w:rFonts w:ascii="Times New Roman" w:hAnsi="Times New Roman" w:eastAsia="仿宋_GB2312"/>
          <w:kern w:val="2"/>
          <w:sz w:val="32"/>
          <w:szCs w:val="32"/>
          <w:vertAlign w:val="superscript"/>
        </w:rPr>
        <w:t>2</w:t>
      </w:r>
      <w:r>
        <w:rPr>
          <w:rFonts w:ascii="Times New Roman" w:hAnsi="Times New Roman" w:eastAsia="仿宋_GB2312"/>
          <w:kern w:val="2"/>
          <w:sz w:val="32"/>
          <w:szCs w:val="32"/>
        </w:rPr>
        <w:t>，</w:t>
      </w:r>
      <w:r>
        <w:rPr>
          <w:rFonts w:hint="eastAsia" w:ascii="Times New Roman" w:hAnsi="Times New Roman" w:eastAsia="仿宋_GB2312"/>
          <w:kern w:val="2"/>
          <w:sz w:val="32"/>
          <w:szCs w:val="32"/>
        </w:rPr>
        <w:t>全部</w:t>
      </w:r>
      <w:r>
        <w:rPr>
          <w:rFonts w:ascii="Times New Roman" w:hAnsi="Times New Roman" w:eastAsia="仿宋_GB2312"/>
          <w:kern w:val="2"/>
          <w:sz w:val="32"/>
          <w:szCs w:val="32"/>
        </w:rPr>
        <w:t>为永久占地。</w:t>
      </w:r>
    </w:p>
    <w:p>
      <w:pPr>
        <w:ind w:firstLine="640" w:firstLineChars="200"/>
        <w:rPr>
          <w:rFonts w:eastAsia="仿宋_GB2312"/>
          <w:sz w:val="32"/>
          <w:szCs w:val="32"/>
        </w:rPr>
      </w:pPr>
      <w:r>
        <w:rPr>
          <w:rFonts w:eastAsia="仿宋_GB2312"/>
          <w:sz w:val="32"/>
          <w:szCs w:val="32"/>
        </w:rPr>
        <w:t>六、同意本报告</w:t>
      </w:r>
      <w:r>
        <w:rPr>
          <w:rFonts w:hint="eastAsia" w:eastAsia="仿宋_GB2312"/>
          <w:sz w:val="32"/>
          <w:szCs w:val="32"/>
        </w:rPr>
        <w:t>表</w:t>
      </w:r>
      <w:r>
        <w:rPr>
          <w:rFonts w:eastAsia="仿宋_GB2312"/>
          <w:sz w:val="32"/>
          <w:szCs w:val="32"/>
        </w:rPr>
        <w:t>工程建设水土流失防治要求，根据水土保持有关技术规范要求，已达到较全面的防止因工程建设而产生的水土流失。</w:t>
      </w:r>
    </w:p>
    <w:p>
      <w:pPr>
        <w:autoSpaceDE w:val="0"/>
        <w:autoSpaceDN w:val="0"/>
        <w:adjustRightInd w:val="0"/>
        <w:spacing w:line="600" w:lineRule="exact"/>
        <w:ind w:firstLine="640" w:firstLineChars="200"/>
        <w:rPr>
          <w:rFonts w:eastAsia="仿宋_GB2312"/>
          <w:sz w:val="32"/>
          <w:szCs w:val="32"/>
        </w:rPr>
      </w:pPr>
      <w:r>
        <w:rPr>
          <w:rFonts w:eastAsia="仿宋_GB2312"/>
          <w:sz w:val="32"/>
          <w:szCs w:val="32"/>
        </w:rPr>
        <w:t>七、同意水土保持报告</w:t>
      </w:r>
      <w:r>
        <w:rPr>
          <w:rFonts w:hint="eastAsia" w:eastAsia="仿宋_GB2312"/>
          <w:sz w:val="32"/>
          <w:szCs w:val="32"/>
        </w:rPr>
        <w:t>表</w:t>
      </w:r>
      <w:r>
        <w:rPr>
          <w:rFonts w:eastAsia="仿宋_GB2312"/>
          <w:sz w:val="32"/>
          <w:szCs w:val="32"/>
        </w:rPr>
        <w:t>实施进度安排，要严格按照批复的水土保持方案所确定的进度组织实施水土保持工程。</w:t>
      </w:r>
    </w:p>
    <w:p>
      <w:pPr>
        <w:spacing w:line="240" w:lineRule="auto"/>
        <w:ind w:firstLine="640" w:firstLineChars="200"/>
        <w:rPr>
          <w:rFonts w:eastAsia="仿宋"/>
          <w:sz w:val="32"/>
          <w:szCs w:val="32"/>
        </w:rPr>
      </w:pPr>
      <w:r>
        <w:rPr>
          <w:rFonts w:hint="eastAsia" w:eastAsia="仿宋_GB2312"/>
          <w:sz w:val="32"/>
          <w:szCs w:val="32"/>
        </w:rPr>
        <w:t>八</w:t>
      </w:r>
      <w:r>
        <w:rPr>
          <w:rFonts w:eastAsia="仿宋_GB2312"/>
          <w:sz w:val="32"/>
          <w:szCs w:val="32"/>
        </w:rPr>
        <w:t>、同意投资概算的编制依据、原则和方法。</w:t>
      </w:r>
    </w:p>
    <w:p>
      <w:pPr>
        <w:spacing w:line="240" w:lineRule="auto"/>
        <w:ind w:firstLine="640" w:firstLineChars="200"/>
        <w:rPr>
          <w:rFonts w:eastAsia="仿宋_GB2312"/>
          <w:sz w:val="32"/>
          <w:szCs w:val="32"/>
        </w:rPr>
      </w:pPr>
      <w:r>
        <w:rPr>
          <w:rFonts w:hint="eastAsia" w:eastAsia="仿宋_GB2312"/>
          <w:sz w:val="32"/>
          <w:szCs w:val="32"/>
        </w:rPr>
        <w:t>本项目水土保持总投资</w:t>
      </w:r>
      <w:r>
        <w:rPr>
          <w:rFonts w:eastAsia="仿宋_GB2312"/>
          <w:sz w:val="32"/>
          <w:szCs w:val="32"/>
        </w:rPr>
        <w:t>206.69</w:t>
      </w:r>
      <w:r>
        <w:rPr>
          <w:rFonts w:hint="eastAsia" w:eastAsia="仿宋_GB2312"/>
          <w:sz w:val="32"/>
          <w:szCs w:val="32"/>
        </w:rPr>
        <w:t>万元（其中主体工程投资</w:t>
      </w:r>
      <w:r>
        <w:rPr>
          <w:rFonts w:eastAsia="仿宋_GB2312"/>
          <w:sz w:val="32"/>
          <w:szCs w:val="32"/>
        </w:rPr>
        <w:t>187.28</w:t>
      </w:r>
      <w:r>
        <w:rPr>
          <w:rFonts w:hint="eastAsia" w:eastAsia="仿宋_GB2312"/>
          <w:sz w:val="32"/>
          <w:szCs w:val="32"/>
        </w:rPr>
        <w:t>万元，方案新增投资</w:t>
      </w:r>
      <w:r>
        <w:rPr>
          <w:rFonts w:eastAsia="仿宋_GB2312"/>
          <w:sz w:val="32"/>
          <w:szCs w:val="32"/>
        </w:rPr>
        <w:t>19.41</w:t>
      </w:r>
      <w:r>
        <w:rPr>
          <w:rFonts w:hint="eastAsia" w:eastAsia="仿宋_GB2312"/>
          <w:sz w:val="32"/>
          <w:szCs w:val="32"/>
        </w:rPr>
        <w:t>万元），其中水保防治费</w:t>
      </w:r>
      <w:r>
        <w:rPr>
          <w:rFonts w:eastAsia="仿宋_GB2312"/>
          <w:sz w:val="32"/>
          <w:szCs w:val="32"/>
        </w:rPr>
        <w:t>187.92</w:t>
      </w:r>
      <w:r>
        <w:rPr>
          <w:rFonts w:hint="eastAsia" w:eastAsia="仿宋_GB2312"/>
          <w:sz w:val="32"/>
          <w:szCs w:val="32"/>
        </w:rPr>
        <w:t>万元（其中工程措施投资</w:t>
      </w:r>
      <w:r>
        <w:rPr>
          <w:rFonts w:eastAsia="仿宋_GB2312"/>
          <w:sz w:val="32"/>
          <w:szCs w:val="32"/>
        </w:rPr>
        <w:t>36.06</w:t>
      </w:r>
      <w:r>
        <w:rPr>
          <w:rFonts w:hint="eastAsia" w:eastAsia="仿宋_GB2312"/>
          <w:sz w:val="32"/>
          <w:szCs w:val="32"/>
        </w:rPr>
        <w:t>万元，植物措施投资</w:t>
      </w:r>
      <w:r>
        <w:rPr>
          <w:rFonts w:eastAsia="仿宋_GB2312"/>
          <w:sz w:val="32"/>
          <w:szCs w:val="32"/>
        </w:rPr>
        <w:t>150.00</w:t>
      </w:r>
      <w:r>
        <w:rPr>
          <w:rFonts w:hint="eastAsia" w:eastAsia="仿宋_GB2312"/>
          <w:sz w:val="32"/>
          <w:szCs w:val="32"/>
        </w:rPr>
        <w:t>万元，临时措施投资</w:t>
      </w:r>
      <w:r>
        <w:rPr>
          <w:rFonts w:eastAsia="仿宋_GB2312"/>
          <w:sz w:val="32"/>
          <w:szCs w:val="32"/>
        </w:rPr>
        <w:t>1.86</w:t>
      </w:r>
      <w:r>
        <w:rPr>
          <w:rFonts w:hint="eastAsia" w:eastAsia="仿宋_GB2312"/>
          <w:sz w:val="32"/>
          <w:szCs w:val="32"/>
        </w:rPr>
        <w:t>万元），独立费用</w:t>
      </w:r>
      <w:r>
        <w:rPr>
          <w:rFonts w:eastAsia="仿宋_GB2312"/>
          <w:sz w:val="32"/>
          <w:szCs w:val="32"/>
        </w:rPr>
        <w:t>15.01</w:t>
      </w:r>
      <w:r>
        <w:rPr>
          <w:rFonts w:hint="eastAsia" w:eastAsia="仿宋_GB2312"/>
          <w:sz w:val="32"/>
          <w:szCs w:val="32"/>
        </w:rPr>
        <w:t>万元（其中建设管理费</w:t>
      </w:r>
      <w:r>
        <w:rPr>
          <w:rFonts w:eastAsia="仿宋_GB2312"/>
          <w:sz w:val="32"/>
          <w:szCs w:val="32"/>
        </w:rPr>
        <w:t>0.01</w:t>
      </w:r>
      <w:r>
        <w:rPr>
          <w:rFonts w:hint="eastAsia" w:eastAsia="仿宋_GB2312"/>
          <w:sz w:val="32"/>
          <w:szCs w:val="32"/>
        </w:rPr>
        <w:t>万元、科研勘察设计费</w:t>
      </w:r>
      <w:r>
        <w:rPr>
          <w:rFonts w:eastAsia="仿宋_GB2312"/>
          <w:sz w:val="32"/>
          <w:szCs w:val="32"/>
        </w:rPr>
        <w:t>10</w:t>
      </w:r>
      <w:r>
        <w:rPr>
          <w:rFonts w:hint="eastAsia" w:eastAsia="仿宋_GB2312"/>
          <w:sz w:val="32"/>
          <w:szCs w:val="32"/>
        </w:rPr>
        <w:t>万元，水土保持验收报告编制费</w:t>
      </w:r>
      <w:r>
        <w:rPr>
          <w:rFonts w:eastAsia="仿宋_GB2312"/>
          <w:sz w:val="32"/>
          <w:szCs w:val="32"/>
        </w:rPr>
        <w:t>5</w:t>
      </w:r>
      <w:r>
        <w:rPr>
          <w:rFonts w:hint="eastAsia" w:eastAsia="仿宋_GB2312"/>
          <w:sz w:val="32"/>
          <w:szCs w:val="32"/>
        </w:rPr>
        <w:t>万元），基本预备费</w:t>
      </w:r>
      <w:r>
        <w:rPr>
          <w:rFonts w:eastAsia="仿宋_GB2312"/>
          <w:sz w:val="32"/>
          <w:szCs w:val="32"/>
        </w:rPr>
        <w:t>0.94</w:t>
      </w:r>
      <w:r>
        <w:rPr>
          <w:rFonts w:hint="eastAsia" w:eastAsia="仿宋_GB2312"/>
          <w:sz w:val="32"/>
          <w:szCs w:val="32"/>
        </w:rPr>
        <w:t>万元，水土保持补偿费</w:t>
      </w:r>
      <w:r>
        <w:rPr>
          <w:rFonts w:eastAsia="仿宋_GB2312"/>
          <w:sz w:val="32"/>
          <w:szCs w:val="32"/>
        </w:rPr>
        <w:t>28218</w:t>
      </w:r>
      <w:r>
        <w:rPr>
          <w:rFonts w:hint="eastAsia" w:eastAsia="仿宋_GB2312"/>
          <w:sz w:val="32"/>
          <w:szCs w:val="32"/>
        </w:rPr>
        <w:t>元。</w:t>
      </w:r>
    </w:p>
    <w:p>
      <w:pPr>
        <w:spacing w:line="520" w:lineRule="exact"/>
        <w:ind w:firstLine="640" w:firstLineChars="200"/>
        <w:rPr>
          <w:rFonts w:eastAsia="仿宋_GB2312"/>
          <w:sz w:val="32"/>
          <w:szCs w:val="32"/>
        </w:rPr>
      </w:pPr>
      <w:r>
        <w:rPr>
          <w:rFonts w:eastAsia="仿宋_GB2312"/>
          <w:sz w:val="32"/>
          <w:szCs w:val="32"/>
        </w:rPr>
        <w:t>十、建设单位要注意做好以下工作</w:t>
      </w:r>
    </w:p>
    <w:p>
      <w:pPr>
        <w:pStyle w:val="17"/>
        <w:spacing w:line="600" w:lineRule="exact"/>
        <w:ind w:firstLine="640" w:firstLineChars="200"/>
        <w:rPr>
          <w:rFonts w:eastAsia="仿宋_GB2312" w:cs="Times New Roman"/>
          <w:sz w:val="32"/>
          <w:szCs w:val="32"/>
        </w:rPr>
      </w:pPr>
      <w:r>
        <w:rPr>
          <w:rFonts w:eastAsia="仿宋_GB2312" w:cs="Times New Roman"/>
          <w:sz w:val="32"/>
          <w:szCs w:val="32"/>
        </w:rPr>
        <w:t>1、严格按照方案要求落实各项水土保持措施，加强施工组织和施工管理，切实落实水土保持“三同时”制度；确保水土保持工程质量；要积极配合和主动接受各级水土保持部门的依法监督检查。</w:t>
      </w:r>
    </w:p>
    <w:p>
      <w:pPr>
        <w:ind w:firstLine="640" w:firstLineChars="200"/>
        <w:rPr>
          <w:rFonts w:eastAsia="仿宋_GB2312"/>
          <w:sz w:val="32"/>
          <w:szCs w:val="32"/>
        </w:rPr>
      </w:pPr>
      <w:r>
        <w:rPr>
          <w:rFonts w:eastAsia="仿宋_GB2312"/>
          <w:sz w:val="32"/>
          <w:szCs w:val="32"/>
        </w:rPr>
        <w:t>2、根据《中华人民共和国水土保持法》、《水土保持补偿费征收使用管理办法》、《河南省实施&lt;中华人民共和国水土保持法&gt;办法》、河南省豫发改收费〔2018〕1079号文件之规定，应缴纳水土保持补偿费</w:t>
      </w:r>
      <w:r>
        <w:rPr>
          <w:rFonts w:eastAsia="仿宋"/>
          <w:sz w:val="32"/>
          <w:szCs w:val="32"/>
        </w:rPr>
        <w:t>费</w:t>
      </w:r>
      <w:r>
        <w:rPr>
          <w:rFonts w:eastAsia="仿宋_GB2312"/>
          <w:sz w:val="32"/>
          <w:szCs w:val="32"/>
        </w:rPr>
        <w:t>28218元。接</w:t>
      </w:r>
      <w:r>
        <w:rPr>
          <w:rFonts w:eastAsia="仿宋_GB2312"/>
          <w:color w:val="auto"/>
          <w:sz w:val="32"/>
          <w:szCs w:val="32"/>
        </w:rPr>
        <w:t>此</w:t>
      </w:r>
      <w:r>
        <w:rPr>
          <w:rFonts w:eastAsia="仿宋_GB2312"/>
          <w:sz w:val="32"/>
          <w:szCs w:val="32"/>
        </w:rPr>
        <w:t>文书后</w:t>
      </w:r>
      <w:r>
        <w:rPr>
          <w:rFonts w:hint="eastAsia" w:eastAsia="仿宋_GB2312"/>
          <w:sz w:val="32"/>
          <w:szCs w:val="32"/>
          <w:lang w:val="en-US" w:eastAsia="zh-CN"/>
        </w:rPr>
        <w:t>十五</w:t>
      </w:r>
      <w:r>
        <w:rPr>
          <w:rFonts w:eastAsia="仿宋_GB2312"/>
          <w:sz w:val="32"/>
          <w:szCs w:val="32"/>
        </w:rPr>
        <w:t>日内，请将水土保持补偿费交至：</w:t>
      </w:r>
      <w:r>
        <w:rPr>
          <w:rFonts w:eastAsia="仿宋_GB2312"/>
          <w:b/>
          <w:bCs/>
          <w:sz w:val="32"/>
          <w:szCs w:val="32"/>
          <w:u w:val="single"/>
        </w:rPr>
        <w:t>开封市财政局非税收入财政专户</w:t>
      </w:r>
      <w:r>
        <w:rPr>
          <w:rFonts w:eastAsia="仿宋_GB2312"/>
          <w:sz w:val="32"/>
          <w:szCs w:val="32"/>
        </w:rPr>
        <w:t>（开户行：</w:t>
      </w:r>
      <w:r>
        <w:rPr>
          <w:rFonts w:eastAsia="仿宋_GB2312"/>
          <w:b/>
          <w:bCs/>
          <w:sz w:val="32"/>
          <w:szCs w:val="32"/>
          <w:u w:val="single"/>
        </w:rPr>
        <w:t>中原银行开封分行营业部</w:t>
      </w:r>
      <w:r>
        <w:rPr>
          <w:rFonts w:eastAsia="仿宋_GB2312"/>
          <w:sz w:val="32"/>
          <w:szCs w:val="32"/>
        </w:rPr>
        <w:t xml:space="preserve">，账号： </w:t>
      </w:r>
      <w:r>
        <w:rPr>
          <w:rFonts w:eastAsia="仿宋_GB2312"/>
          <w:b/>
          <w:bCs/>
          <w:sz w:val="32"/>
          <w:szCs w:val="32"/>
          <w:u w:val="single"/>
        </w:rPr>
        <w:t>5001880300010</w:t>
      </w:r>
      <w:r>
        <w:rPr>
          <w:rFonts w:eastAsia="仿宋_GB2312"/>
          <w:sz w:val="32"/>
          <w:szCs w:val="32"/>
        </w:rPr>
        <w:t>），进账后，请到开封市水政监察支队办理有关手续。自接到本通知书之日起三日内，你（单位）可以进行陈述和申辩，逾期视为你（单位）放弃此权利。</w:t>
      </w:r>
    </w:p>
    <w:p>
      <w:pPr>
        <w:ind w:firstLine="640" w:firstLineChars="200"/>
        <w:rPr>
          <w:rFonts w:eastAsia="仿宋_GB2312"/>
          <w:sz w:val="32"/>
          <w:szCs w:val="32"/>
        </w:rPr>
      </w:pPr>
      <w:r>
        <w:rPr>
          <w:rFonts w:eastAsia="仿宋_GB2312"/>
          <w:sz w:val="32"/>
          <w:szCs w:val="32"/>
        </w:rPr>
        <w:t>3、逾期不缴纳的，按照《中华人民共和国水土保持法》第五十七条之规定处理，即从滞纳之日起按日加收滞纳部分万分之五的滞纳金，可以处应缴水土保持补偿费三倍以下的罚款。</w:t>
      </w:r>
    </w:p>
    <w:p>
      <w:pPr>
        <w:ind w:firstLine="640" w:firstLineChars="200"/>
        <w:jc w:val="left"/>
        <w:rPr>
          <w:rFonts w:eastAsia="仿宋_GB2312"/>
          <w:sz w:val="32"/>
          <w:szCs w:val="32"/>
        </w:rPr>
      </w:pPr>
      <w:r>
        <w:rPr>
          <w:rFonts w:eastAsia="仿宋_GB2312"/>
          <w:sz w:val="32"/>
          <w:szCs w:val="32"/>
        </w:rPr>
        <w:t>4、</w:t>
      </w:r>
      <w:r>
        <w:rPr>
          <w:rFonts w:hint="eastAsia" w:eastAsia="仿宋_GB2312"/>
          <w:sz w:val="32"/>
          <w:szCs w:val="32"/>
        </w:rPr>
        <w:t>在主体工程竣工前，要切实落实国务院国发〔2017〕46号文件和水利部水保〔2017〕365号文件要求，尽快组织开展水土保持设施自主验收工作。要严格遵循水土保持标准、规范、规程确定的验收标准和条件，召开验收会议并形成水土保持设施验收鉴定书，在通过官方网站或其他便于公众知悉的方式向社会公开水土保持设施验收鉴定书等材料后，生产建设项目投产使用前，向我局报备水土保持设施验收材料。逾期不验收的水土保持设施，不得投入使用。</w:t>
      </w:r>
    </w:p>
    <w:p>
      <w:pPr>
        <w:pStyle w:val="17"/>
        <w:jc w:val="center"/>
        <w:rPr>
          <w:rFonts w:eastAsia="仿宋_GB2312" w:cs="Times New Roman"/>
          <w:sz w:val="32"/>
          <w:szCs w:val="32"/>
        </w:rPr>
      </w:pPr>
      <w:r>
        <w:rPr>
          <w:rFonts w:eastAsia="仿宋_GB2312" w:cs="Times New Roman"/>
          <w:sz w:val="32"/>
          <w:szCs w:val="32"/>
        </w:rPr>
        <w:t xml:space="preserve">                  </w:t>
      </w:r>
    </w:p>
    <w:p>
      <w:pPr>
        <w:pStyle w:val="17"/>
        <w:jc w:val="center"/>
        <w:rPr>
          <w:rFonts w:eastAsia="仿宋_GB2312" w:cs="Times New Roman"/>
          <w:sz w:val="32"/>
          <w:szCs w:val="32"/>
        </w:rPr>
      </w:pPr>
      <w:r>
        <w:rPr>
          <w:rFonts w:eastAsia="仿宋_GB2312" w:cs="Times New Roman"/>
          <w:sz w:val="32"/>
          <w:szCs w:val="32"/>
        </w:rPr>
        <w:t xml:space="preserve"> </w:t>
      </w:r>
    </w:p>
    <w:p>
      <w:pPr>
        <w:pStyle w:val="17"/>
        <w:jc w:val="center"/>
        <w:rPr>
          <w:rFonts w:eastAsia="仿宋_GB2312" w:cs="Times New Roman"/>
          <w:sz w:val="32"/>
          <w:szCs w:val="32"/>
        </w:rPr>
      </w:pPr>
    </w:p>
    <w:p>
      <w:pPr>
        <w:pStyle w:val="17"/>
        <w:rPr>
          <w:rFonts w:eastAsia="仿宋_GB2312" w:cs="Times New Roman"/>
          <w:sz w:val="32"/>
          <w:szCs w:val="32"/>
        </w:rPr>
      </w:pPr>
    </w:p>
    <w:p>
      <w:pPr>
        <w:pStyle w:val="17"/>
        <w:jc w:val="center"/>
        <w:rPr>
          <w:rFonts w:eastAsia="仿宋_GB2312" w:cs="Times New Roman"/>
          <w:sz w:val="32"/>
          <w:szCs w:val="32"/>
        </w:rPr>
      </w:pPr>
      <w:r>
        <w:rPr>
          <w:rFonts w:eastAsia="仿宋_GB2312" w:cs="Times New Roman"/>
          <w:sz w:val="32"/>
          <w:szCs w:val="32"/>
        </w:rPr>
        <w:t xml:space="preserve">                  2020年7月</w:t>
      </w:r>
      <w:r>
        <w:rPr>
          <w:rFonts w:hint="eastAsia" w:eastAsia="仿宋_GB2312" w:cs="Times New Roman"/>
          <w:sz w:val="32"/>
          <w:szCs w:val="32"/>
          <w:lang w:val="en-US" w:eastAsia="zh-CN"/>
        </w:rPr>
        <w:t>6</w:t>
      </w:r>
      <w:r>
        <w:rPr>
          <w:rFonts w:eastAsia="仿宋_GB2312" w:cs="Times New Roman"/>
          <w:sz w:val="32"/>
          <w:szCs w:val="32"/>
        </w:rPr>
        <w:t>日</w:t>
      </w: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pStyle w:val="17"/>
        <w:ind w:firstLine="0"/>
        <w:rPr>
          <w:rFonts w:eastAsia="仿宋_GB2312" w:cs="Times New Roman"/>
          <w:sz w:val="32"/>
          <w:szCs w:val="32"/>
        </w:rPr>
      </w:pPr>
    </w:p>
    <w:p>
      <w:pPr>
        <w:rPr>
          <w:rFonts w:eastAsia="仿宋_GB2312"/>
          <w:sz w:val="32"/>
          <w:szCs w:val="32"/>
          <w:u w:val="single"/>
        </w:rPr>
      </w:pPr>
      <w:r>
        <w:rPr>
          <w:rFonts w:eastAsia="仿宋_GB2312"/>
          <w:sz w:val="32"/>
          <w:szCs w:val="32"/>
          <w:u w:val="single"/>
        </w:rPr>
        <w:t xml:space="preserve">                                                    </w:t>
      </w:r>
    </w:p>
    <w:p>
      <w:pPr>
        <w:adjustRightInd w:val="0"/>
        <w:snapToGrid w:val="0"/>
        <w:rPr>
          <w:rFonts w:eastAsia="仿宋_GB2312"/>
          <w:color w:val="auto"/>
          <w:sz w:val="32"/>
          <w:szCs w:val="32"/>
        </w:rPr>
      </w:pPr>
      <w:r>
        <w:rPr>
          <w:rFonts w:eastAsia="仿宋_GB2312"/>
          <w:sz w:val="32"/>
          <w:szCs w:val="32"/>
        </w:rPr>
        <w:t xml:space="preserve"> 开封市水利局                 </w:t>
      </w:r>
      <w:r>
        <w:rPr>
          <w:rFonts w:eastAsia="仿宋_GB2312"/>
          <w:color w:val="auto"/>
          <w:sz w:val="32"/>
          <w:szCs w:val="32"/>
        </w:rPr>
        <w:t xml:space="preserve">  2020年</w:t>
      </w:r>
      <w:r>
        <w:rPr>
          <w:rFonts w:hint="eastAsia" w:eastAsia="仿宋_GB2312"/>
          <w:color w:val="auto"/>
          <w:sz w:val="32"/>
          <w:szCs w:val="32"/>
          <w:lang w:val="en-US" w:eastAsia="zh-CN"/>
        </w:rPr>
        <w:t>7</w:t>
      </w:r>
      <w:r>
        <w:rPr>
          <w:rFonts w:eastAsia="仿宋_GB2312"/>
          <w:color w:val="auto"/>
          <w:sz w:val="32"/>
          <w:szCs w:val="32"/>
        </w:rPr>
        <w:t>月</w:t>
      </w:r>
      <w:r>
        <w:rPr>
          <w:rFonts w:hint="eastAsia" w:eastAsia="仿宋_GB2312"/>
          <w:color w:val="auto"/>
          <w:sz w:val="32"/>
          <w:szCs w:val="32"/>
          <w:lang w:val="en-US" w:eastAsia="zh-CN"/>
        </w:rPr>
        <w:t>6</w:t>
      </w:r>
      <w:bookmarkStart w:id="0" w:name="_GoBack"/>
      <w:bookmarkEnd w:id="0"/>
      <w:r>
        <w:rPr>
          <w:rFonts w:eastAsia="仿宋_GB2312"/>
          <w:color w:val="auto"/>
          <w:sz w:val="32"/>
          <w:szCs w:val="32"/>
        </w:rPr>
        <w:t>日印发</w:t>
      </w:r>
    </w:p>
    <w:p>
      <w:pPr>
        <w:adjustRightInd w:val="0"/>
        <w:snapToGrid w:val="0"/>
        <w:rPr>
          <w:sz w:val="32"/>
          <w:szCs w:val="32"/>
          <w:u w:val="single"/>
        </w:rPr>
      </w:pPr>
      <w:r>
        <w:rPr>
          <w:rFonts w:eastAsia="仿宋_GB2312"/>
          <w:color w:val="auto"/>
          <w:sz w:val="32"/>
          <w:szCs w:val="32"/>
          <w:u w:val="single"/>
        </w:rPr>
        <w:t xml:space="preserve">                                                   </w:t>
      </w:r>
      <w:r>
        <w:rPr>
          <w:sz w:val="32"/>
          <w:szCs w:val="32"/>
          <w:u w:val="single"/>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357CA"/>
    <w:multiLevelType w:val="multilevel"/>
    <w:tmpl w:val="432357CA"/>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DB"/>
    <w:rsid w:val="00003464"/>
    <w:rsid w:val="00005750"/>
    <w:rsid w:val="00010A80"/>
    <w:rsid w:val="00012590"/>
    <w:rsid w:val="0002098D"/>
    <w:rsid w:val="000224C9"/>
    <w:rsid w:val="00025AFA"/>
    <w:rsid w:val="00031733"/>
    <w:rsid w:val="00035060"/>
    <w:rsid w:val="00036B82"/>
    <w:rsid w:val="00037A1F"/>
    <w:rsid w:val="00041283"/>
    <w:rsid w:val="0004610B"/>
    <w:rsid w:val="00046919"/>
    <w:rsid w:val="000608BF"/>
    <w:rsid w:val="000722C3"/>
    <w:rsid w:val="00080DE2"/>
    <w:rsid w:val="00082130"/>
    <w:rsid w:val="00091F37"/>
    <w:rsid w:val="0009303C"/>
    <w:rsid w:val="000A44BA"/>
    <w:rsid w:val="000C1060"/>
    <w:rsid w:val="000C211F"/>
    <w:rsid w:val="000D07BD"/>
    <w:rsid w:val="000D70BA"/>
    <w:rsid w:val="000E2821"/>
    <w:rsid w:val="000E53E1"/>
    <w:rsid w:val="000E687E"/>
    <w:rsid w:val="000F14C3"/>
    <w:rsid w:val="001040BD"/>
    <w:rsid w:val="001060B6"/>
    <w:rsid w:val="00110DD2"/>
    <w:rsid w:val="00114501"/>
    <w:rsid w:val="00117C0F"/>
    <w:rsid w:val="00120996"/>
    <w:rsid w:val="00132F3E"/>
    <w:rsid w:val="00134D16"/>
    <w:rsid w:val="00144900"/>
    <w:rsid w:val="0014569E"/>
    <w:rsid w:val="00146713"/>
    <w:rsid w:val="001508D2"/>
    <w:rsid w:val="00157927"/>
    <w:rsid w:val="00163A1D"/>
    <w:rsid w:val="00165438"/>
    <w:rsid w:val="001727F0"/>
    <w:rsid w:val="0017325D"/>
    <w:rsid w:val="00173BA1"/>
    <w:rsid w:val="00181F2F"/>
    <w:rsid w:val="001909C7"/>
    <w:rsid w:val="00192916"/>
    <w:rsid w:val="001A0356"/>
    <w:rsid w:val="001A16AF"/>
    <w:rsid w:val="001B6988"/>
    <w:rsid w:val="001B786E"/>
    <w:rsid w:val="001C25BD"/>
    <w:rsid w:val="001C45C4"/>
    <w:rsid w:val="001D192D"/>
    <w:rsid w:val="001D57C9"/>
    <w:rsid w:val="001D7B40"/>
    <w:rsid w:val="001E06D9"/>
    <w:rsid w:val="001E37B8"/>
    <w:rsid w:val="001F2BA3"/>
    <w:rsid w:val="001F5878"/>
    <w:rsid w:val="002026A7"/>
    <w:rsid w:val="002077C1"/>
    <w:rsid w:val="00210156"/>
    <w:rsid w:val="0021137D"/>
    <w:rsid w:val="00214E16"/>
    <w:rsid w:val="00216FF4"/>
    <w:rsid w:val="00220891"/>
    <w:rsid w:val="00224D7F"/>
    <w:rsid w:val="00230FE1"/>
    <w:rsid w:val="00244843"/>
    <w:rsid w:val="002673E1"/>
    <w:rsid w:val="00271D94"/>
    <w:rsid w:val="00284E3B"/>
    <w:rsid w:val="002A08E6"/>
    <w:rsid w:val="002A7032"/>
    <w:rsid w:val="002B06A7"/>
    <w:rsid w:val="002B7AAC"/>
    <w:rsid w:val="002E3793"/>
    <w:rsid w:val="002E3CB2"/>
    <w:rsid w:val="003036FF"/>
    <w:rsid w:val="00325507"/>
    <w:rsid w:val="00332336"/>
    <w:rsid w:val="003449E8"/>
    <w:rsid w:val="00350197"/>
    <w:rsid w:val="00367905"/>
    <w:rsid w:val="00371170"/>
    <w:rsid w:val="003755DF"/>
    <w:rsid w:val="003837DB"/>
    <w:rsid w:val="00394A31"/>
    <w:rsid w:val="003A6451"/>
    <w:rsid w:val="003A654D"/>
    <w:rsid w:val="003A6991"/>
    <w:rsid w:val="003B3466"/>
    <w:rsid w:val="003B4FF0"/>
    <w:rsid w:val="003B504C"/>
    <w:rsid w:val="003C2E83"/>
    <w:rsid w:val="003D43C2"/>
    <w:rsid w:val="0041239C"/>
    <w:rsid w:val="004267F7"/>
    <w:rsid w:val="0043175E"/>
    <w:rsid w:val="0043260E"/>
    <w:rsid w:val="00432BDC"/>
    <w:rsid w:val="00432FD7"/>
    <w:rsid w:val="00437551"/>
    <w:rsid w:val="0044405D"/>
    <w:rsid w:val="00444F16"/>
    <w:rsid w:val="00452063"/>
    <w:rsid w:val="004565C7"/>
    <w:rsid w:val="00470B18"/>
    <w:rsid w:val="00471CDE"/>
    <w:rsid w:val="0049208E"/>
    <w:rsid w:val="0049445B"/>
    <w:rsid w:val="00494D59"/>
    <w:rsid w:val="00495ED7"/>
    <w:rsid w:val="004A4C05"/>
    <w:rsid w:val="004A5255"/>
    <w:rsid w:val="004A7B44"/>
    <w:rsid w:val="004B0AD5"/>
    <w:rsid w:val="004B4CD9"/>
    <w:rsid w:val="004C3DCC"/>
    <w:rsid w:val="004C7A63"/>
    <w:rsid w:val="004E1A7D"/>
    <w:rsid w:val="004E4534"/>
    <w:rsid w:val="004F438A"/>
    <w:rsid w:val="00507407"/>
    <w:rsid w:val="005135A8"/>
    <w:rsid w:val="00520193"/>
    <w:rsid w:val="00521E59"/>
    <w:rsid w:val="005230F2"/>
    <w:rsid w:val="00525959"/>
    <w:rsid w:val="00540138"/>
    <w:rsid w:val="00555B7D"/>
    <w:rsid w:val="00562702"/>
    <w:rsid w:val="005642DE"/>
    <w:rsid w:val="005706BA"/>
    <w:rsid w:val="005717E6"/>
    <w:rsid w:val="00576B6A"/>
    <w:rsid w:val="0058638C"/>
    <w:rsid w:val="00586F05"/>
    <w:rsid w:val="00592787"/>
    <w:rsid w:val="005A40F9"/>
    <w:rsid w:val="005B77F9"/>
    <w:rsid w:val="005D050A"/>
    <w:rsid w:val="005D146F"/>
    <w:rsid w:val="005D2ABD"/>
    <w:rsid w:val="005D2B4B"/>
    <w:rsid w:val="005D62F4"/>
    <w:rsid w:val="005F2360"/>
    <w:rsid w:val="00600ADB"/>
    <w:rsid w:val="00610473"/>
    <w:rsid w:val="00613E7B"/>
    <w:rsid w:val="006217F4"/>
    <w:rsid w:val="006250F0"/>
    <w:rsid w:val="0062603A"/>
    <w:rsid w:val="006277D5"/>
    <w:rsid w:val="00630C65"/>
    <w:rsid w:val="006317DF"/>
    <w:rsid w:val="00633D18"/>
    <w:rsid w:val="00635072"/>
    <w:rsid w:val="006350A6"/>
    <w:rsid w:val="0064001F"/>
    <w:rsid w:val="00645499"/>
    <w:rsid w:val="0065344D"/>
    <w:rsid w:val="00671FBE"/>
    <w:rsid w:val="006949B1"/>
    <w:rsid w:val="006959E4"/>
    <w:rsid w:val="006A029F"/>
    <w:rsid w:val="006A0310"/>
    <w:rsid w:val="006A6497"/>
    <w:rsid w:val="006C6407"/>
    <w:rsid w:val="006E242E"/>
    <w:rsid w:val="006E5BE5"/>
    <w:rsid w:val="006E65C0"/>
    <w:rsid w:val="0071148C"/>
    <w:rsid w:val="007145FA"/>
    <w:rsid w:val="0072502E"/>
    <w:rsid w:val="00733BAB"/>
    <w:rsid w:val="00741CCD"/>
    <w:rsid w:val="00750C58"/>
    <w:rsid w:val="00796C40"/>
    <w:rsid w:val="0079794E"/>
    <w:rsid w:val="007A0046"/>
    <w:rsid w:val="007A4449"/>
    <w:rsid w:val="007A49AF"/>
    <w:rsid w:val="007A5C41"/>
    <w:rsid w:val="007B0911"/>
    <w:rsid w:val="007B3DA1"/>
    <w:rsid w:val="007B4E4D"/>
    <w:rsid w:val="007C46A3"/>
    <w:rsid w:val="007D2D69"/>
    <w:rsid w:val="007D2DB4"/>
    <w:rsid w:val="007D6E81"/>
    <w:rsid w:val="007E0346"/>
    <w:rsid w:val="007E66E7"/>
    <w:rsid w:val="008013D0"/>
    <w:rsid w:val="00801D38"/>
    <w:rsid w:val="00804907"/>
    <w:rsid w:val="00804B91"/>
    <w:rsid w:val="00812901"/>
    <w:rsid w:val="00822295"/>
    <w:rsid w:val="00827E94"/>
    <w:rsid w:val="00833606"/>
    <w:rsid w:val="00847A15"/>
    <w:rsid w:val="008649D9"/>
    <w:rsid w:val="00866460"/>
    <w:rsid w:val="008667BB"/>
    <w:rsid w:val="00871E7A"/>
    <w:rsid w:val="008779FD"/>
    <w:rsid w:val="00897B76"/>
    <w:rsid w:val="008A2C9C"/>
    <w:rsid w:val="008B2E8D"/>
    <w:rsid w:val="008B366D"/>
    <w:rsid w:val="008B405D"/>
    <w:rsid w:val="008C27EB"/>
    <w:rsid w:val="008D4ADF"/>
    <w:rsid w:val="008D780B"/>
    <w:rsid w:val="008E77C1"/>
    <w:rsid w:val="008F3EC4"/>
    <w:rsid w:val="008F5EB5"/>
    <w:rsid w:val="008F7E87"/>
    <w:rsid w:val="009031F1"/>
    <w:rsid w:val="00905040"/>
    <w:rsid w:val="009354F4"/>
    <w:rsid w:val="00945D1F"/>
    <w:rsid w:val="00961B2A"/>
    <w:rsid w:val="00961FCF"/>
    <w:rsid w:val="009700C0"/>
    <w:rsid w:val="0097275F"/>
    <w:rsid w:val="00976FE3"/>
    <w:rsid w:val="009818ED"/>
    <w:rsid w:val="00983750"/>
    <w:rsid w:val="0098665F"/>
    <w:rsid w:val="00993FB4"/>
    <w:rsid w:val="009A5C40"/>
    <w:rsid w:val="009A5F6D"/>
    <w:rsid w:val="009C6CFD"/>
    <w:rsid w:val="009C7C54"/>
    <w:rsid w:val="009E0895"/>
    <w:rsid w:val="009F1861"/>
    <w:rsid w:val="009F369D"/>
    <w:rsid w:val="00A00679"/>
    <w:rsid w:val="00A0088A"/>
    <w:rsid w:val="00A0335B"/>
    <w:rsid w:val="00A06AF1"/>
    <w:rsid w:val="00A113D4"/>
    <w:rsid w:val="00A3573F"/>
    <w:rsid w:val="00A36D5F"/>
    <w:rsid w:val="00A37BB0"/>
    <w:rsid w:val="00A37BE1"/>
    <w:rsid w:val="00A57FFA"/>
    <w:rsid w:val="00A75394"/>
    <w:rsid w:val="00A75CDF"/>
    <w:rsid w:val="00A77236"/>
    <w:rsid w:val="00A84DEA"/>
    <w:rsid w:val="00A87AAA"/>
    <w:rsid w:val="00A91371"/>
    <w:rsid w:val="00A955AE"/>
    <w:rsid w:val="00A9607C"/>
    <w:rsid w:val="00AA64BD"/>
    <w:rsid w:val="00AB725D"/>
    <w:rsid w:val="00AD0691"/>
    <w:rsid w:val="00AD11A2"/>
    <w:rsid w:val="00AD41CD"/>
    <w:rsid w:val="00AE610D"/>
    <w:rsid w:val="00AF72EE"/>
    <w:rsid w:val="00B04AAF"/>
    <w:rsid w:val="00B07AD8"/>
    <w:rsid w:val="00B1130E"/>
    <w:rsid w:val="00B15EBA"/>
    <w:rsid w:val="00B27DF5"/>
    <w:rsid w:val="00B30139"/>
    <w:rsid w:val="00B30571"/>
    <w:rsid w:val="00B31D2E"/>
    <w:rsid w:val="00B32870"/>
    <w:rsid w:val="00B34D72"/>
    <w:rsid w:val="00B37300"/>
    <w:rsid w:val="00B40CC2"/>
    <w:rsid w:val="00B44402"/>
    <w:rsid w:val="00B5587C"/>
    <w:rsid w:val="00B56061"/>
    <w:rsid w:val="00B57571"/>
    <w:rsid w:val="00B7131D"/>
    <w:rsid w:val="00B76D60"/>
    <w:rsid w:val="00B84E01"/>
    <w:rsid w:val="00B94177"/>
    <w:rsid w:val="00B941F9"/>
    <w:rsid w:val="00B94E8E"/>
    <w:rsid w:val="00BB4ED7"/>
    <w:rsid w:val="00BC0BCA"/>
    <w:rsid w:val="00BC5271"/>
    <w:rsid w:val="00BC60DA"/>
    <w:rsid w:val="00BD0EE9"/>
    <w:rsid w:val="00BD5AAC"/>
    <w:rsid w:val="00BD734C"/>
    <w:rsid w:val="00BE4CB4"/>
    <w:rsid w:val="00BF1933"/>
    <w:rsid w:val="00C0561D"/>
    <w:rsid w:val="00C21633"/>
    <w:rsid w:val="00C221ED"/>
    <w:rsid w:val="00C33262"/>
    <w:rsid w:val="00C45E7E"/>
    <w:rsid w:val="00C50510"/>
    <w:rsid w:val="00C5414A"/>
    <w:rsid w:val="00C62800"/>
    <w:rsid w:val="00C76E72"/>
    <w:rsid w:val="00C97759"/>
    <w:rsid w:val="00CB0222"/>
    <w:rsid w:val="00CB642C"/>
    <w:rsid w:val="00CC0EBF"/>
    <w:rsid w:val="00CC75EB"/>
    <w:rsid w:val="00D04244"/>
    <w:rsid w:val="00D05731"/>
    <w:rsid w:val="00D13AFA"/>
    <w:rsid w:val="00D324F3"/>
    <w:rsid w:val="00D3368F"/>
    <w:rsid w:val="00D44AA6"/>
    <w:rsid w:val="00D47E48"/>
    <w:rsid w:val="00D501B8"/>
    <w:rsid w:val="00D65093"/>
    <w:rsid w:val="00D65351"/>
    <w:rsid w:val="00D65EB6"/>
    <w:rsid w:val="00D66543"/>
    <w:rsid w:val="00D666D3"/>
    <w:rsid w:val="00D6670D"/>
    <w:rsid w:val="00D66A7D"/>
    <w:rsid w:val="00D76E52"/>
    <w:rsid w:val="00D8152E"/>
    <w:rsid w:val="00D860D4"/>
    <w:rsid w:val="00D91245"/>
    <w:rsid w:val="00DD1C41"/>
    <w:rsid w:val="00DE0891"/>
    <w:rsid w:val="00DE4130"/>
    <w:rsid w:val="00DE696C"/>
    <w:rsid w:val="00DF1E99"/>
    <w:rsid w:val="00E03B24"/>
    <w:rsid w:val="00E23236"/>
    <w:rsid w:val="00E44C82"/>
    <w:rsid w:val="00E44F8D"/>
    <w:rsid w:val="00E50EDB"/>
    <w:rsid w:val="00E613E2"/>
    <w:rsid w:val="00E63A17"/>
    <w:rsid w:val="00E83992"/>
    <w:rsid w:val="00E9678A"/>
    <w:rsid w:val="00ED5A45"/>
    <w:rsid w:val="00EE41C8"/>
    <w:rsid w:val="00F1321C"/>
    <w:rsid w:val="00F15226"/>
    <w:rsid w:val="00F170CF"/>
    <w:rsid w:val="00F23CC7"/>
    <w:rsid w:val="00F27585"/>
    <w:rsid w:val="00F33225"/>
    <w:rsid w:val="00F35553"/>
    <w:rsid w:val="00F4579F"/>
    <w:rsid w:val="00F56BE5"/>
    <w:rsid w:val="00F6198E"/>
    <w:rsid w:val="00F62214"/>
    <w:rsid w:val="00F67747"/>
    <w:rsid w:val="00F730B0"/>
    <w:rsid w:val="00F76D7E"/>
    <w:rsid w:val="00F772D0"/>
    <w:rsid w:val="00F84392"/>
    <w:rsid w:val="00FB4BCA"/>
    <w:rsid w:val="00FC1A69"/>
    <w:rsid w:val="00FD014E"/>
    <w:rsid w:val="00FD3205"/>
    <w:rsid w:val="00FD7ADA"/>
    <w:rsid w:val="00FE75E2"/>
    <w:rsid w:val="00FE7677"/>
    <w:rsid w:val="00FF0BA7"/>
    <w:rsid w:val="00FF7C5C"/>
    <w:rsid w:val="01C81E4A"/>
    <w:rsid w:val="0509054B"/>
    <w:rsid w:val="055E5485"/>
    <w:rsid w:val="0589555D"/>
    <w:rsid w:val="07352E93"/>
    <w:rsid w:val="079C0F8C"/>
    <w:rsid w:val="0813721F"/>
    <w:rsid w:val="092D073A"/>
    <w:rsid w:val="09B03D12"/>
    <w:rsid w:val="0B6A191F"/>
    <w:rsid w:val="0B7C7AC3"/>
    <w:rsid w:val="0C03010A"/>
    <w:rsid w:val="0E007950"/>
    <w:rsid w:val="0E2E68D0"/>
    <w:rsid w:val="0EA207A0"/>
    <w:rsid w:val="14094A76"/>
    <w:rsid w:val="14B24C16"/>
    <w:rsid w:val="157F23A4"/>
    <w:rsid w:val="15E8432C"/>
    <w:rsid w:val="16F80C97"/>
    <w:rsid w:val="171F359F"/>
    <w:rsid w:val="17D5491F"/>
    <w:rsid w:val="18EF74B7"/>
    <w:rsid w:val="18FC7100"/>
    <w:rsid w:val="19DA78FB"/>
    <w:rsid w:val="1A222CF1"/>
    <w:rsid w:val="1A9019A2"/>
    <w:rsid w:val="1BE31CF8"/>
    <w:rsid w:val="1C195F8C"/>
    <w:rsid w:val="1C200F0C"/>
    <w:rsid w:val="1C263955"/>
    <w:rsid w:val="1CA20985"/>
    <w:rsid w:val="1FE704BF"/>
    <w:rsid w:val="20C07CB1"/>
    <w:rsid w:val="23176F15"/>
    <w:rsid w:val="24063B86"/>
    <w:rsid w:val="24190863"/>
    <w:rsid w:val="2456562D"/>
    <w:rsid w:val="248D16AF"/>
    <w:rsid w:val="24DC49C0"/>
    <w:rsid w:val="25A34813"/>
    <w:rsid w:val="269427A6"/>
    <w:rsid w:val="271C66A7"/>
    <w:rsid w:val="28F57818"/>
    <w:rsid w:val="2BF525E9"/>
    <w:rsid w:val="2CC32B95"/>
    <w:rsid w:val="2CDF6859"/>
    <w:rsid w:val="2ED645B7"/>
    <w:rsid w:val="2F03704A"/>
    <w:rsid w:val="2F7877C1"/>
    <w:rsid w:val="2FA43350"/>
    <w:rsid w:val="2FAA1653"/>
    <w:rsid w:val="30250CCA"/>
    <w:rsid w:val="32337F66"/>
    <w:rsid w:val="326A7616"/>
    <w:rsid w:val="32D60B60"/>
    <w:rsid w:val="3451670F"/>
    <w:rsid w:val="348D6FB9"/>
    <w:rsid w:val="34E95FAA"/>
    <w:rsid w:val="352C7AC3"/>
    <w:rsid w:val="368D5856"/>
    <w:rsid w:val="36DA4DDC"/>
    <w:rsid w:val="39C66480"/>
    <w:rsid w:val="3A5D72AB"/>
    <w:rsid w:val="3AEF1DA8"/>
    <w:rsid w:val="3BC073D5"/>
    <w:rsid w:val="3C260E68"/>
    <w:rsid w:val="3D04283F"/>
    <w:rsid w:val="3D22429A"/>
    <w:rsid w:val="3E4642CB"/>
    <w:rsid w:val="3E863B03"/>
    <w:rsid w:val="3EC63E3E"/>
    <w:rsid w:val="3F782905"/>
    <w:rsid w:val="3FFD70A7"/>
    <w:rsid w:val="40211244"/>
    <w:rsid w:val="41201852"/>
    <w:rsid w:val="41AF3F95"/>
    <w:rsid w:val="41BE0393"/>
    <w:rsid w:val="42673908"/>
    <w:rsid w:val="439663A7"/>
    <w:rsid w:val="444F670C"/>
    <w:rsid w:val="449D6BD9"/>
    <w:rsid w:val="449E0D6A"/>
    <w:rsid w:val="452B09C1"/>
    <w:rsid w:val="465379C1"/>
    <w:rsid w:val="476202B0"/>
    <w:rsid w:val="47DE0B20"/>
    <w:rsid w:val="48020955"/>
    <w:rsid w:val="48174FD9"/>
    <w:rsid w:val="48DC31A2"/>
    <w:rsid w:val="48F530EF"/>
    <w:rsid w:val="4A350631"/>
    <w:rsid w:val="4A9D0202"/>
    <w:rsid w:val="4B7151EA"/>
    <w:rsid w:val="4CA648F6"/>
    <w:rsid w:val="4D006F52"/>
    <w:rsid w:val="4D237B78"/>
    <w:rsid w:val="4DEF1B0D"/>
    <w:rsid w:val="4ED737F8"/>
    <w:rsid w:val="4F9F3D57"/>
    <w:rsid w:val="50845BB6"/>
    <w:rsid w:val="50A96ED8"/>
    <w:rsid w:val="510161AE"/>
    <w:rsid w:val="5198498F"/>
    <w:rsid w:val="51A02DC3"/>
    <w:rsid w:val="521943B2"/>
    <w:rsid w:val="52562F0D"/>
    <w:rsid w:val="54015BC5"/>
    <w:rsid w:val="540F455E"/>
    <w:rsid w:val="57370687"/>
    <w:rsid w:val="591D6C04"/>
    <w:rsid w:val="59525450"/>
    <w:rsid w:val="59D83F19"/>
    <w:rsid w:val="5A7C721A"/>
    <w:rsid w:val="5AC77777"/>
    <w:rsid w:val="5D6979A6"/>
    <w:rsid w:val="5D777C82"/>
    <w:rsid w:val="5DFC46B0"/>
    <w:rsid w:val="5E122DF6"/>
    <w:rsid w:val="5F1203D3"/>
    <w:rsid w:val="601B6733"/>
    <w:rsid w:val="604C3AA4"/>
    <w:rsid w:val="60CA6DD7"/>
    <w:rsid w:val="622D74D9"/>
    <w:rsid w:val="631378CD"/>
    <w:rsid w:val="63331C7D"/>
    <w:rsid w:val="63D349E0"/>
    <w:rsid w:val="65E54476"/>
    <w:rsid w:val="66D74001"/>
    <w:rsid w:val="66D87237"/>
    <w:rsid w:val="6785488D"/>
    <w:rsid w:val="67964820"/>
    <w:rsid w:val="67C85638"/>
    <w:rsid w:val="68492154"/>
    <w:rsid w:val="69127C5D"/>
    <w:rsid w:val="698316E5"/>
    <w:rsid w:val="6A3A70E7"/>
    <w:rsid w:val="6A532918"/>
    <w:rsid w:val="6B0464E2"/>
    <w:rsid w:val="6BE82FB6"/>
    <w:rsid w:val="6C41396C"/>
    <w:rsid w:val="6CDE343C"/>
    <w:rsid w:val="6D450929"/>
    <w:rsid w:val="6DAF6A17"/>
    <w:rsid w:val="6DCC3B45"/>
    <w:rsid w:val="6E381557"/>
    <w:rsid w:val="6F02765A"/>
    <w:rsid w:val="6F402169"/>
    <w:rsid w:val="6F6C789F"/>
    <w:rsid w:val="6F950C79"/>
    <w:rsid w:val="700254BF"/>
    <w:rsid w:val="71763B55"/>
    <w:rsid w:val="722D6062"/>
    <w:rsid w:val="727542DB"/>
    <w:rsid w:val="730C5E83"/>
    <w:rsid w:val="73E80C15"/>
    <w:rsid w:val="74700969"/>
    <w:rsid w:val="747D0A01"/>
    <w:rsid w:val="74F42411"/>
    <w:rsid w:val="754D673F"/>
    <w:rsid w:val="7836615E"/>
    <w:rsid w:val="7890425C"/>
    <w:rsid w:val="79956834"/>
    <w:rsid w:val="7BB452D9"/>
    <w:rsid w:val="7EB45E62"/>
    <w:rsid w:val="7EF01CF4"/>
    <w:rsid w:val="7EF4489E"/>
    <w:rsid w:val="7F2C1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unhideWhenUsed/>
    <w:qFormat/>
    <w:uiPriority w:val="9"/>
    <w:pPr>
      <w:keepNext/>
      <w:keepLines/>
      <w:spacing w:before="120"/>
      <w:outlineLvl w:val="1"/>
    </w:pPr>
    <w:rPr>
      <w:rFonts w:eastAsia="黑体" w:cstheme="majorBidi"/>
      <w:bCs/>
      <w:sz w:val="30"/>
      <w:szCs w:val="32"/>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Normal Indent"/>
    <w:basedOn w:val="1"/>
    <w:link w:val="22"/>
    <w:qFormat/>
    <w:uiPriority w:val="0"/>
    <w:pPr>
      <w:tabs>
        <w:tab w:val="right" w:pos="840"/>
      </w:tabs>
      <w:spacing w:line="360" w:lineRule="auto"/>
      <w:ind w:firstLine="233"/>
    </w:pPr>
    <w:rPr>
      <w:rFonts w:ascii="宋体" w:hAnsi="宋体"/>
      <w:kern w:val="0"/>
      <w:sz w:val="24"/>
      <w:szCs w:val="28"/>
    </w:rPr>
  </w:style>
  <w:style w:type="paragraph" w:styleId="4">
    <w:name w:val="Body Text"/>
    <w:basedOn w:val="1"/>
    <w:unhideWhenUsed/>
    <w:qFormat/>
    <w:uiPriority w:val="0"/>
    <w:pPr>
      <w:spacing w:after="120"/>
    </w:pPr>
    <w:rPr>
      <w:rFonts w:asciiTheme="minorHAnsi" w:hAnsiTheme="minorHAnsi" w:eastAsiaTheme="minorEastAsia" w:cstheme="minorBidi"/>
      <w:szCs w:val="22"/>
    </w:rPr>
  </w:style>
  <w:style w:type="paragraph" w:styleId="5">
    <w:name w:val="Date"/>
    <w:basedOn w:val="1"/>
    <w:next w:val="1"/>
    <w:link w:val="23"/>
    <w:qFormat/>
    <w:uiPriority w:val="0"/>
    <w:pPr>
      <w:ind w:left="100" w:leftChars="2500"/>
    </w:pPr>
  </w:style>
  <w:style w:type="paragraph" w:styleId="6">
    <w:name w:val="Balloon Text"/>
    <w:basedOn w:val="1"/>
    <w:link w:val="20"/>
    <w:qFormat/>
    <w:uiPriority w:val="0"/>
    <w:rPr>
      <w:sz w:val="18"/>
      <w:szCs w:val="18"/>
    </w:rPr>
  </w:style>
  <w:style w:type="paragraph" w:styleId="7">
    <w:name w:val="footer"/>
    <w:basedOn w:val="1"/>
    <w:link w:val="15"/>
    <w:qFormat/>
    <w:uiPriority w:val="99"/>
    <w:pPr>
      <w:tabs>
        <w:tab w:val="center" w:pos="4153"/>
        <w:tab w:val="right" w:pos="8306"/>
      </w:tabs>
      <w:snapToGrid w:val="0"/>
      <w:jc w:val="left"/>
    </w:pPr>
    <w:rPr>
      <w:sz w:val="18"/>
      <w:szCs w:val="18"/>
    </w:rPr>
  </w:style>
  <w:style w:type="paragraph" w:styleId="8">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rPr>
      <w:sz w:val="24"/>
      <w:szCs w:val="24"/>
    </w:rPr>
  </w:style>
  <w:style w:type="paragraph" w:customStyle="1" w:styleId="12">
    <w:name w:val="p0"/>
    <w:basedOn w:val="1"/>
    <w:qFormat/>
    <w:uiPriority w:val="0"/>
    <w:pPr>
      <w:widowControl/>
    </w:pPr>
    <w:rPr>
      <w:kern w:val="0"/>
      <w:szCs w:val="21"/>
    </w:rPr>
  </w:style>
  <w:style w:type="paragraph" w:customStyle="1" w:styleId="13">
    <w:name w:val="p15"/>
    <w:basedOn w:val="1"/>
    <w:qFormat/>
    <w:uiPriority w:val="0"/>
    <w:pPr>
      <w:widowControl/>
    </w:pPr>
    <w:rPr>
      <w:rFonts w:ascii="宋体" w:hAnsi="宋体" w:cs="宋体"/>
      <w:kern w:val="0"/>
      <w:szCs w:val="21"/>
    </w:rPr>
  </w:style>
  <w:style w:type="character" w:customStyle="1" w:styleId="14">
    <w:name w:val="页眉 Char"/>
    <w:basedOn w:val="11"/>
    <w:link w:val="8"/>
    <w:qFormat/>
    <w:uiPriority w:val="99"/>
    <w:rPr>
      <w:rFonts w:ascii="Times New Roman" w:hAnsi="Times New Roman"/>
      <w:kern w:val="2"/>
      <w:sz w:val="18"/>
      <w:szCs w:val="18"/>
    </w:rPr>
  </w:style>
  <w:style w:type="character" w:customStyle="1" w:styleId="15">
    <w:name w:val="页脚 Char"/>
    <w:basedOn w:val="11"/>
    <w:link w:val="7"/>
    <w:qFormat/>
    <w:uiPriority w:val="99"/>
    <w:rPr>
      <w:rFonts w:ascii="Times New Roman" w:hAnsi="Times New Roman"/>
      <w:kern w:val="2"/>
      <w:sz w:val="18"/>
      <w:szCs w:val="18"/>
    </w:rPr>
  </w:style>
  <w:style w:type="paragraph" w:customStyle="1" w:styleId="16">
    <w:name w:val="样式 样式 样式 样式 正文首行缩进 2 + 首行缩进:  2 字符 + 首行缩进:  2 字符 + 首行缩进:  2 字符 +"/>
    <w:basedOn w:val="1"/>
    <w:qFormat/>
    <w:uiPriority w:val="0"/>
    <w:pPr>
      <w:spacing w:line="520" w:lineRule="exact"/>
      <w:ind w:firstLine="200" w:firstLineChars="200"/>
    </w:pPr>
    <w:rPr>
      <w:rFonts w:cs="宋体"/>
      <w:sz w:val="28"/>
    </w:rPr>
  </w:style>
  <w:style w:type="paragraph" w:customStyle="1" w:styleId="17">
    <w:name w:val="样式 四号 行距: 1.5 倍行距"/>
    <w:basedOn w:val="1"/>
    <w:link w:val="21"/>
    <w:qFormat/>
    <w:uiPriority w:val="0"/>
    <w:pPr>
      <w:adjustRightInd w:val="0"/>
      <w:snapToGrid w:val="0"/>
      <w:spacing w:line="360" w:lineRule="auto"/>
      <w:ind w:firstLine="480"/>
    </w:pPr>
    <w:rPr>
      <w:rFonts w:cs="宋体"/>
      <w:sz w:val="24"/>
      <w:szCs w:val="24"/>
    </w:rPr>
  </w:style>
  <w:style w:type="paragraph" w:customStyle="1" w:styleId="18">
    <w:name w:val="样式 样式 样式 正文首行缩进 2 + (符号) 宋体 首行缩进:  2 字符 + 首行缩进:  2 字符 + 首行缩进:  2..."/>
    <w:basedOn w:val="1"/>
    <w:qFormat/>
    <w:uiPriority w:val="0"/>
    <w:pPr>
      <w:spacing w:line="520" w:lineRule="exact"/>
      <w:ind w:firstLine="560" w:firstLineChars="200"/>
    </w:pPr>
    <w:rPr>
      <w:rFonts w:hAnsi="宋体" w:cs="宋体"/>
      <w:sz w:val="28"/>
    </w:rPr>
  </w:style>
  <w:style w:type="paragraph" w:styleId="19">
    <w:name w:val="List Paragraph"/>
    <w:basedOn w:val="1"/>
    <w:qFormat/>
    <w:uiPriority w:val="99"/>
    <w:pPr>
      <w:ind w:firstLine="420" w:firstLineChars="200"/>
    </w:pPr>
  </w:style>
  <w:style w:type="character" w:customStyle="1" w:styleId="20">
    <w:name w:val="批注框文本 Char"/>
    <w:basedOn w:val="11"/>
    <w:link w:val="6"/>
    <w:qFormat/>
    <w:uiPriority w:val="0"/>
    <w:rPr>
      <w:rFonts w:ascii="Times New Roman" w:hAnsi="Times New Roman"/>
      <w:kern w:val="2"/>
      <w:sz w:val="18"/>
      <w:szCs w:val="18"/>
    </w:rPr>
  </w:style>
  <w:style w:type="character" w:customStyle="1" w:styleId="21">
    <w:name w:val="样式 四号 行距: 1.5 倍行距 Char"/>
    <w:link w:val="17"/>
    <w:qFormat/>
    <w:uiPriority w:val="0"/>
    <w:rPr>
      <w:rFonts w:ascii="Times New Roman" w:hAnsi="Times New Roman" w:cs="宋体"/>
      <w:kern w:val="2"/>
      <w:sz w:val="24"/>
      <w:szCs w:val="24"/>
    </w:rPr>
  </w:style>
  <w:style w:type="character" w:customStyle="1" w:styleId="22">
    <w:name w:val="正文缩进 Char"/>
    <w:link w:val="3"/>
    <w:qFormat/>
    <w:uiPriority w:val="0"/>
    <w:rPr>
      <w:rFonts w:ascii="宋体" w:hAnsi="宋体"/>
      <w:sz w:val="24"/>
      <w:szCs w:val="28"/>
    </w:rPr>
  </w:style>
  <w:style w:type="character" w:customStyle="1" w:styleId="23">
    <w:name w:val="日期 Char"/>
    <w:basedOn w:val="11"/>
    <w:link w:val="5"/>
    <w:qFormat/>
    <w:uiPriority w:val="0"/>
    <w:rPr>
      <w:rFonts w:ascii="Times New Roman" w:hAnsi="Times New Roman"/>
      <w:kern w:val="2"/>
      <w:sz w:val="21"/>
    </w:rPr>
  </w:style>
  <w:style w:type="paragraph" w:customStyle="1" w:styleId="24">
    <w:name w:val="文本样式"/>
    <w:basedOn w:val="1"/>
    <w:next w:val="2"/>
    <w:qFormat/>
    <w:uiPriority w:val="0"/>
    <w:pPr>
      <w:widowControl/>
      <w:autoSpaceDE w:val="0"/>
      <w:autoSpaceDN w:val="0"/>
      <w:spacing w:line="560" w:lineRule="exact"/>
      <w:ind w:firstLine="200" w:firstLineChars="200"/>
    </w:pPr>
    <w:rPr>
      <w:rFonts w:cs="宋体"/>
      <w:kern w:val="0"/>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F45C81-376A-4099-B72E-BA1C3E833281}">
  <ds:schemaRefs/>
</ds:datastoreItem>
</file>

<file path=docProps/app.xml><?xml version="1.0" encoding="utf-8"?>
<Properties xmlns="http://schemas.openxmlformats.org/officeDocument/2006/extended-properties" xmlns:vt="http://schemas.openxmlformats.org/officeDocument/2006/docPropsVTypes">
  <Template>Normal</Template>
  <Pages>6</Pages>
  <Words>309</Words>
  <Characters>1766</Characters>
  <Lines>14</Lines>
  <Paragraphs>4</Paragraphs>
  <TotalTime>67</TotalTime>
  <ScaleCrop>false</ScaleCrop>
  <LinksUpToDate>false</LinksUpToDate>
  <CharactersWithSpaces>2071</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2020-07-01T03:28:00Z</dcterms:created>
  <dc:creator>123</dc:creator>
  <cp:lastModifiedBy>踊跃</cp:lastModifiedBy>
  <cp:lastPrinted>2020-07-02T03:03:00Z</cp:lastPrinted>
  <dcterms:modified xsi:type="dcterms:W3CDTF">2020-07-07T02:34:40Z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