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jc w:val="center"/>
        <w:rPr>
          <w:rFonts w:ascii="华文中宋" w:hAnsi="华文中宋" w:eastAsia="华文中宋"/>
          <w:b/>
          <w:bCs/>
          <w:sz w:val="52"/>
          <w:szCs w:val="52"/>
        </w:rPr>
      </w:pPr>
    </w:p>
    <w:p>
      <w:pPr>
        <w:pStyle w:val="11"/>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1"/>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21</w:t>
      </w:r>
      <w:r>
        <w:rPr>
          <w:rFonts w:hint="eastAsia"/>
          <w:sz w:val="32"/>
          <w:szCs w:val="32"/>
        </w:rPr>
        <w:t>号</w:t>
      </w:r>
    </w:p>
    <w:p>
      <w:pPr>
        <w:pStyle w:val="10"/>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开封大宋中医药文化博物馆项目</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河南医药技师学院</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本机关于2020年5月25日受理你单位报送的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开封大宋中医药文化博物馆项目</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0"/>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项目规划总用地面积为 22184.60m</w:t>
      </w:r>
      <w:r>
        <w:rPr>
          <w:rFonts w:hint="default"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 xml:space="preserve">，总建筑面积约为 </w:t>
      </w:r>
      <w:r>
        <w:rPr>
          <w:rFonts w:hint="default" w:ascii="仿宋_GB2312" w:hAnsi="仿宋_GB2312" w:eastAsia="仿宋_GB2312" w:cs="仿宋_GB2312"/>
          <w:color w:val="auto"/>
          <w:sz w:val="32"/>
          <w:szCs w:val="32"/>
          <w:lang w:val="en-US" w:eastAsia="zh-CN"/>
        </w:rPr>
        <w:t>12291.99m</w:t>
      </w:r>
      <w:r>
        <w:rPr>
          <w:rFonts w:hint="default"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 xml:space="preserve">，建筑密度 </w:t>
      </w:r>
      <w:r>
        <w:rPr>
          <w:rFonts w:hint="default" w:ascii="仿宋_GB2312" w:hAnsi="仿宋_GB2312" w:eastAsia="仿宋_GB2312" w:cs="仿宋_GB2312"/>
          <w:color w:val="auto"/>
          <w:sz w:val="32"/>
          <w:szCs w:val="32"/>
          <w:lang w:val="en-US" w:eastAsia="zh-CN"/>
        </w:rPr>
        <w:t>19.55%</w:t>
      </w:r>
      <w:r>
        <w:rPr>
          <w:rFonts w:hint="eastAsia" w:ascii="仿宋_GB2312" w:hAnsi="仿宋_GB2312" w:eastAsia="仿宋_GB2312" w:cs="仿宋_GB2312"/>
          <w:color w:val="auto"/>
          <w:sz w:val="32"/>
          <w:szCs w:val="32"/>
          <w:lang w:val="en-US" w:eastAsia="zh-CN"/>
        </w:rPr>
        <w:t xml:space="preserve">，容积率 </w:t>
      </w:r>
      <w:r>
        <w:rPr>
          <w:rFonts w:hint="default" w:ascii="仿宋_GB2312" w:hAnsi="仿宋_GB2312" w:eastAsia="仿宋_GB2312" w:cs="仿宋_GB2312"/>
          <w:color w:val="auto"/>
          <w:sz w:val="32"/>
          <w:szCs w:val="32"/>
          <w:lang w:val="en-US" w:eastAsia="zh-CN"/>
        </w:rPr>
        <w:t>0.554</w:t>
      </w:r>
      <w:r>
        <w:rPr>
          <w:rFonts w:hint="eastAsia" w:ascii="仿宋_GB2312" w:hAnsi="仿宋_GB2312" w:eastAsia="仿宋_GB2312" w:cs="仿宋_GB2312"/>
          <w:color w:val="auto"/>
          <w:sz w:val="32"/>
          <w:szCs w:val="32"/>
          <w:lang w:val="en-US" w:eastAsia="zh-CN"/>
        </w:rPr>
        <w:t xml:space="preserve">，绿化率 </w:t>
      </w:r>
      <w:r>
        <w:rPr>
          <w:rFonts w:hint="default" w:ascii="仿宋_GB2312" w:hAnsi="仿宋_GB2312" w:eastAsia="仿宋_GB2312" w:cs="仿宋_GB2312"/>
          <w:color w:val="auto"/>
          <w:sz w:val="32"/>
          <w:szCs w:val="32"/>
          <w:lang w:val="en-US" w:eastAsia="zh-CN"/>
        </w:rPr>
        <w:t>37.12%</w:t>
      </w:r>
      <w:r>
        <w:rPr>
          <w:rFonts w:hint="eastAsia" w:ascii="仿宋_GB2312" w:hAnsi="仿宋_GB2312" w:eastAsia="仿宋_GB2312" w:cs="仿宋_GB2312"/>
          <w:color w:val="auto"/>
          <w:sz w:val="32"/>
          <w:szCs w:val="32"/>
          <w:lang w:val="en-US" w:eastAsia="zh-CN"/>
        </w:rPr>
        <w:t xml:space="preserve">。本项目建设内容包括一栋博物馆、室外给排水等基础设施及院内道路和绿化工程。项目由建筑物工程、道路广场工程、景观绿化工程、药植园四部分组成。工程施工用水由城镇供水，施工用电采取就近接电或农电直供。 </w:t>
      </w:r>
    </w:p>
    <w:p>
      <w:pPr>
        <w:adjustRightInd w:val="0"/>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总投资及土建投资：总投资 </w:t>
      </w:r>
      <w:r>
        <w:rPr>
          <w:rFonts w:hint="default" w:ascii="仿宋_GB2312" w:hAnsi="仿宋_GB2312" w:eastAsia="仿宋_GB2312" w:cs="仿宋_GB2312"/>
          <w:color w:val="auto"/>
          <w:sz w:val="32"/>
          <w:szCs w:val="32"/>
          <w:lang w:val="en-US" w:eastAsia="zh-CN"/>
        </w:rPr>
        <w:t xml:space="preserve">3945.75 </w:t>
      </w:r>
      <w:r>
        <w:rPr>
          <w:rFonts w:hint="eastAsia" w:ascii="仿宋_GB2312" w:hAnsi="仿宋_GB2312" w:eastAsia="仿宋_GB2312" w:cs="仿宋_GB2312"/>
          <w:color w:val="auto"/>
          <w:sz w:val="32"/>
          <w:szCs w:val="32"/>
          <w:lang w:val="en-US" w:eastAsia="zh-CN"/>
        </w:rPr>
        <w:t xml:space="preserve">万元，其中土建投资 </w:t>
      </w:r>
      <w:r>
        <w:rPr>
          <w:rFonts w:hint="default" w:ascii="仿宋_GB2312" w:hAnsi="仿宋_GB2312" w:eastAsia="仿宋_GB2312" w:cs="仿宋_GB2312"/>
          <w:color w:val="auto"/>
          <w:sz w:val="32"/>
          <w:szCs w:val="32"/>
          <w:lang w:val="en-US" w:eastAsia="zh-CN"/>
        </w:rPr>
        <w:t xml:space="preserve">2840.94 </w:t>
      </w:r>
      <w:r>
        <w:rPr>
          <w:rFonts w:hint="eastAsia" w:ascii="仿宋_GB2312" w:hAnsi="仿宋_GB2312" w:eastAsia="仿宋_GB2312" w:cs="仿宋_GB2312"/>
          <w:color w:val="auto"/>
          <w:sz w:val="32"/>
          <w:szCs w:val="32"/>
          <w:lang w:val="en-US" w:eastAsia="zh-CN"/>
        </w:rPr>
        <w:t>万元。</w:t>
      </w:r>
    </w:p>
    <w:p>
      <w:pPr>
        <w:adjustRightInd w:val="0"/>
        <w:snapToGrid w:val="0"/>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项目已于</w:t>
      </w:r>
      <w:r>
        <w:rPr>
          <w:rFonts w:hint="default" w:ascii="仿宋_GB2312" w:hAnsi="仿宋_GB2312" w:eastAsia="仿宋_GB2312" w:cs="仿宋_GB2312"/>
          <w:color w:val="auto"/>
          <w:sz w:val="32"/>
          <w:szCs w:val="32"/>
          <w:lang w:val="en-US" w:eastAsia="zh-CN"/>
        </w:rPr>
        <w:t xml:space="preserve">2018 </w:t>
      </w:r>
      <w:r>
        <w:rPr>
          <w:rFonts w:hint="eastAsia" w:ascii="仿宋_GB2312" w:hAnsi="仿宋_GB2312" w:eastAsia="仿宋_GB2312" w:cs="仿宋_GB2312"/>
          <w:color w:val="auto"/>
          <w:sz w:val="32"/>
          <w:szCs w:val="32"/>
          <w:lang w:val="en-US" w:eastAsia="zh-CN"/>
        </w:rPr>
        <w:t xml:space="preserve">年 </w:t>
      </w:r>
      <w:r>
        <w:rPr>
          <w:rFonts w:hint="default" w:ascii="仿宋_GB2312" w:hAnsi="仿宋_GB2312" w:eastAsia="仿宋_GB2312" w:cs="仿宋_GB2312"/>
          <w:color w:val="auto"/>
          <w:sz w:val="32"/>
          <w:szCs w:val="32"/>
          <w:lang w:val="en-US" w:eastAsia="zh-CN"/>
        </w:rPr>
        <w:t xml:space="preserve">5 </w:t>
      </w:r>
      <w:r>
        <w:rPr>
          <w:rFonts w:hint="eastAsia" w:ascii="仿宋_GB2312" w:hAnsi="仿宋_GB2312" w:eastAsia="仿宋_GB2312" w:cs="仿宋_GB2312"/>
          <w:color w:val="auto"/>
          <w:sz w:val="32"/>
          <w:szCs w:val="32"/>
          <w:lang w:val="en-US" w:eastAsia="zh-CN"/>
        </w:rPr>
        <w:t xml:space="preserve">月开工建设，于 </w:t>
      </w:r>
      <w:r>
        <w:rPr>
          <w:rFonts w:hint="default" w:ascii="仿宋_GB2312" w:hAnsi="仿宋_GB2312" w:eastAsia="仿宋_GB2312" w:cs="仿宋_GB2312"/>
          <w:color w:val="auto"/>
          <w:sz w:val="32"/>
          <w:szCs w:val="32"/>
          <w:lang w:val="en-US" w:eastAsia="zh-CN"/>
        </w:rPr>
        <w:t xml:space="preserve">2020 </w:t>
      </w:r>
      <w:r>
        <w:rPr>
          <w:rFonts w:hint="eastAsia" w:ascii="仿宋_GB2312" w:hAnsi="仿宋_GB2312" w:eastAsia="仿宋_GB2312" w:cs="仿宋_GB2312"/>
          <w:color w:val="auto"/>
          <w:sz w:val="32"/>
          <w:szCs w:val="32"/>
          <w:lang w:val="en-US" w:eastAsia="zh-CN"/>
        </w:rPr>
        <w:t xml:space="preserve">年 </w:t>
      </w:r>
      <w:r>
        <w:rPr>
          <w:rFonts w:hint="default" w:ascii="仿宋_GB2312" w:hAnsi="仿宋_GB2312" w:eastAsia="仿宋_GB2312" w:cs="仿宋_GB2312"/>
          <w:color w:val="auto"/>
          <w:sz w:val="32"/>
          <w:szCs w:val="32"/>
          <w:lang w:val="en-US" w:eastAsia="zh-CN"/>
        </w:rPr>
        <w:t xml:space="preserve">10 </w:t>
      </w:r>
      <w:r>
        <w:rPr>
          <w:rFonts w:hint="eastAsia" w:ascii="仿宋_GB2312" w:hAnsi="仿宋_GB2312" w:eastAsia="仿宋_GB2312" w:cs="仿宋_GB2312"/>
          <w:color w:val="auto"/>
          <w:sz w:val="32"/>
          <w:szCs w:val="32"/>
          <w:lang w:val="en-US" w:eastAsia="zh-CN"/>
        </w:rPr>
        <w:t xml:space="preserve">月结束，总工期 </w:t>
      </w:r>
      <w:r>
        <w:rPr>
          <w:rFonts w:hint="default" w:ascii="仿宋_GB2312" w:hAnsi="仿宋_GB2312" w:eastAsia="仿宋_GB2312" w:cs="仿宋_GB2312"/>
          <w:color w:val="auto"/>
          <w:sz w:val="32"/>
          <w:szCs w:val="32"/>
          <w:lang w:val="en-US" w:eastAsia="zh-CN"/>
        </w:rPr>
        <w:t xml:space="preserve">30 </w:t>
      </w:r>
      <w:r>
        <w:rPr>
          <w:rFonts w:hint="eastAsia" w:ascii="仿宋_GB2312" w:hAnsi="仿宋_GB2312" w:eastAsia="仿宋_GB2312" w:cs="仿宋_GB2312"/>
          <w:color w:val="auto"/>
          <w:sz w:val="32"/>
          <w:szCs w:val="32"/>
          <w:lang w:val="en-US" w:eastAsia="zh-CN"/>
        </w:rPr>
        <w:t>个月。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keepNext w:val="0"/>
        <w:keepLines w:val="0"/>
        <w:widowControl/>
        <w:suppressLineNumbers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w:t>
      </w:r>
      <w:r>
        <w:rPr>
          <w:rFonts w:hint="eastAsia" w:ascii="仿宋_GB2312" w:hAnsi="仿宋_GB2312" w:eastAsia="仿宋_GB2312" w:cs="仿宋_GB2312"/>
          <w:sz w:val="32"/>
          <w:szCs w:val="32"/>
          <w:lang w:val="en-US" w:eastAsia="zh-CN"/>
        </w:rPr>
        <w:t>工程建设扰动地貌可能造成的水土流失总量</w:t>
      </w:r>
      <w:r>
        <w:rPr>
          <w:rFonts w:hint="default" w:ascii="仿宋_GB2312" w:hAnsi="仿宋_GB2312" w:eastAsia="仿宋_GB2312" w:cs="仿宋_GB2312"/>
          <w:sz w:val="32"/>
          <w:szCs w:val="32"/>
          <w:lang w:val="en-US" w:eastAsia="zh-CN"/>
        </w:rPr>
        <w:t>59.21t</w:t>
      </w:r>
      <w:r>
        <w:rPr>
          <w:rFonts w:hint="eastAsia" w:ascii="仿宋_GB2312" w:hAnsi="仿宋_GB2312" w:eastAsia="仿宋_GB2312" w:cs="仿宋_GB2312"/>
          <w:sz w:val="32"/>
          <w:szCs w:val="32"/>
          <w:lang w:val="en-US" w:eastAsia="zh-CN"/>
        </w:rPr>
        <w:t xml:space="preserve">，新增水土流失量 </w:t>
      </w:r>
      <w:r>
        <w:rPr>
          <w:rFonts w:hint="default" w:ascii="仿宋_GB2312" w:hAnsi="仿宋_GB2312" w:eastAsia="仿宋_GB2312" w:cs="仿宋_GB2312"/>
          <w:sz w:val="32"/>
          <w:szCs w:val="32"/>
          <w:lang w:val="en-US" w:eastAsia="zh-CN"/>
        </w:rPr>
        <w:t>43.49t</w:t>
      </w:r>
      <w:r>
        <w:rPr>
          <w:rFonts w:hint="eastAsia" w:ascii="仿宋_GB2312" w:hAnsi="仿宋_GB2312" w:eastAsia="仿宋_GB2312" w:cs="仿宋_GB2312"/>
          <w:sz w:val="32"/>
          <w:szCs w:val="32"/>
          <w:lang w:val="en-US" w:eastAsia="zh-CN"/>
        </w:rPr>
        <w:t xml:space="preserve">，其中施工期新增水土流失量 </w:t>
      </w:r>
      <w:r>
        <w:rPr>
          <w:rFonts w:hint="default" w:ascii="仿宋_GB2312" w:hAnsi="仿宋_GB2312" w:eastAsia="仿宋_GB2312" w:cs="仿宋_GB2312"/>
          <w:sz w:val="32"/>
          <w:szCs w:val="32"/>
          <w:lang w:val="en-US" w:eastAsia="zh-CN"/>
        </w:rPr>
        <w:t>32.06t</w:t>
      </w:r>
      <w:r>
        <w:rPr>
          <w:rFonts w:hint="eastAsia" w:ascii="仿宋_GB2312" w:hAnsi="仿宋_GB2312" w:eastAsia="仿宋_GB2312" w:cs="仿宋_GB2312"/>
          <w:sz w:val="32"/>
          <w:szCs w:val="32"/>
          <w:lang w:val="en-US" w:eastAsia="zh-CN"/>
        </w:rPr>
        <w:t xml:space="preserve">，自然恢复期新增水土流失量 </w:t>
      </w:r>
      <w:r>
        <w:rPr>
          <w:rFonts w:hint="default" w:ascii="仿宋_GB2312" w:hAnsi="仿宋_GB2312" w:eastAsia="仿宋_GB2312" w:cs="仿宋_GB2312"/>
          <w:sz w:val="32"/>
          <w:szCs w:val="32"/>
          <w:lang w:val="en-US" w:eastAsia="zh-CN"/>
        </w:rPr>
        <w:t>11.43t</w:t>
      </w:r>
      <w:r>
        <w:rPr>
          <w:rFonts w:hint="eastAsia" w:ascii="仿宋_GB2312" w:hAnsi="仿宋_GB2312" w:eastAsia="仿宋_GB2312" w:cs="仿宋_GB2312"/>
          <w:sz w:val="32"/>
          <w:szCs w:val="32"/>
          <w:lang w:val="en-US" w:eastAsia="zh-CN"/>
        </w:rPr>
        <w:t xml:space="preserve">。 </w:t>
      </w:r>
    </w:p>
    <w:p>
      <w:pPr>
        <w:adjustRightInd w:val="0"/>
        <w:snapToGrid w:val="0"/>
        <w:spacing w:line="360" w:lineRule="auto"/>
        <w:ind w:firstLine="480"/>
        <w:rPr>
          <w:rFonts w:ascii="仿宋_GB2312" w:hAnsi="宋体" w:eastAsia="仿宋_GB2312" w:cs="仿宋_GB2312"/>
          <w:color w:val="000000"/>
          <w:kern w:val="0"/>
          <w:sz w:val="24"/>
          <w:szCs w:val="24"/>
          <w:lang w:val="en-US" w:eastAsia="zh-CN" w:bidi="ar"/>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本项目执行北方土石山区一级防治标准，结合本项目的工程特点、水土流失影响因子（干旱程度、土壤侵蚀强度、地形地貌和是否在城市区等）及第三章限制性规定等因素调整相关目标值，综合确定各防治区设计水平年应达到的水土流失防治目标值。</w:t>
      </w:r>
    </w:p>
    <w:p>
      <w:pPr>
        <w:adjustRightInd w:val="0"/>
        <w:snapToGrid w:val="0"/>
        <w:spacing w:line="360" w:lineRule="auto"/>
        <w:ind w:firstLine="640" w:firstLineChars="200"/>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同意该项目</w:t>
      </w:r>
      <w:r>
        <w:rPr>
          <w:rFonts w:hint="eastAsia" w:ascii="仿宋" w:hAnsi="仿宋" w:eastAsia="仿宋" w:cs="仿宋"/>
          <w:color w:val="000000"/>
          <w:kern w:val="0"/>
          <w:sz w:val="32"/>
          <w:szCs w:val="32"/>
          <w:lang w:val="en-US" w:eastAsia="zh-CN" w:bidi="ar"/>
        </w:rPr>
        <w:t>本项目水土流失防治责任范围。结合工程建设实际情况，项目水土流失防治责任范围为项目征占地范围，即2.22hm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pStyle w:val="15"/>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程水土保持估算总投资为456.35万元（其中主体工程设计中已有投资443.10万元、本方案新增水保投资13.25万元），水土保持防治费445.55万元（其中工程措施31.33万元，植物措施410.21万元，临时措施4.01万元），独立费用10.05万元（水保监理费2.0万元，监测费3.0万元），基本预备费0.75万元。</w:t>
      </w:r>
    </w:p>
    <w:p>
      <w:pPr>
        <w:keepNext w:val="0"/>
        <w:keepLines w:val="0"/>
        <w:widowControl/>
        <w:suppressLineNumbers w:val="0"/>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 w:hAnsi="仿宋" w:eastAsia="仿宋" w:cs="仿宋"/>
          <w:kern w:val="2"/>
          <w:sz w:val="32"/>
          <w:szCs w:val="32"/>
          <w:lang w:val="en-US" w:eastAsia="zh-CN" w:bidi="ar-SA"/>
        </w:rPr>
        <w:t>本项目水土保持补偿费免征情况说明：根据河南省水土保持补偿费征收管理办法（豫财综〔2015〕107 号）第十二条规定：建设学校、幼儿园、医院、养老院服务设施、孤儿院、福利院等公益性工程项目的，</w:t>
      </w:r>
      <w:r>
        <w:rPr>
          <w:rFonts w:hint="default" w:ascii="仿宋" w:hAnsi="仿宋" w:eastAsia="仿宋" w:cs="仿宋"/>
          <w:kern w:val="2"/>
          <w:sz w:val="32"/>
          <w:szCs w:val="32"/>
          <w:lang w:val="en-US" w:eastAsia="zh-CN" w:bidi="ar-SA"/>
        </w:rPr>
        <w:t>免征水土保持补偿费。</w:t>
      </w:r>
      <w:r>
        <w:rPr>
          <w:rFonts w:hint="eastAsia" w:ascii="仿宋" w:hAnsi="仿宋" w:eastAsia="仿宋" w:cs="仿宋"/>
          <w:kern w:val="2"/>
          <w:sz w:val="32"/>
          <w:szCs w:val="32"/>
          <w:lang w:val="en-US" w:eastAsia="zh-CN" w:bidi="ar-SA"/>
        </w:rPr>
        <w:t>本项目为学校建设类项目</w:t>
      </w:r>
      <w:r>
        <w:rPr>
          <w:rFonts w:hint="default" w:ascii="仿宋" w:hAnsi="仿宋" w:eastAsia="仿宋" w:cs="仿宋"/>
          <w:kern w:val="2"/>
          <w:sz w:val="32"/>
          <w:szCs w:val="32"/>
          <w:lang w:val="en-US" w:eastAsia="zh-CN" w:bidi="ar-SA"/>
        </w:rPr>
        <w:t>，因此本项目水土保持补偿费不再计列。</w:t>
      </w:r>
    </w:p>
    <w:p>
      <w:pPr>
        <w:pStyle w:val="15"/>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pStyle w:val="15"/>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 xml:space="preserve">2、在工程投入运行之前应向水行政主管部门申请组织水土保持设施验收，逾期不验收或者验收不合格的水土保持设施，不得投入使用。 </w:t>
      </w:r>
      <w:r>
        <w:rPr>
          <w:rFonts w:hint="eastAsia" w:ascii="仿宋_GB2312" w:hAnsi="仿宋_GB2312" w:eastAsia="仿宋_GB2312" w:cs="仿宋_GB2312"/>
          <w:sz w:val="32"/>
          <w:szCs w:val="32"/>
        </w:rPr>
        <w:t xml:space="preserve">             </w:t>
      </w:r>
    </w:p>
    <w:p>
      <w:pPr>
        <w:pStyle w:val="15"/>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15"/>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bookmarkStart w:id="0" w:name="_GoBack"/>
      <w:bookmarkEnd w:id="0"/>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98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08753F"/>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774206"/>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0D6AB1"/>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qFormat/>
    <w:uiPriority w:val="0"/>
    <w:pPr>
      <w:tabs>
        <w:tab w:val="right" w:pos="840"/>
      </w:tabs>
      <w:spacing w:line="360" w:lineRule="auto"/>
      <w:ind w:firstLine="233"/>
    </w:pPr>
    <w:rPr>
      <w:rFonts w:ascii="宋体" w:hAnsi="宋体"/>
      <w:kern w:val="0"/>
      <w:sz w:val="24"/>
      <w:szCs w:val="28"/>
    </w:rPr>
  </w:style>
  <w:style w:type="paragraph" w:styleId="3">
    <w:name w:val="Date"/>
    <w:basedOn w:val="1"/>
    <w:next w:val="1"/>
    <w:link w:val="21"/>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rFonts w:ascii="Times New Roman" w:hAnsi="Times New Roman" w:eastAsia="宋体" w:cs="Times New Roman"/>
      <w:sz w:val="24"/>
      <w:szCs w:val="24"/>
    </w:rPr>
  </w:style>
  <w:style w:type="paragraph" w:customStyle="1" w:styleId="10">
    <w:name w:val="p0"/>
    <w:basedOn w:val="1"/>
    <w:qFormat/>
    <w:uiPriority w:val="0"/>
    <w:pPr>
      <w:widowControl/>
    </w:pPr>
    <w:rPr>
      <w:kern w:val="0"/>
      <w:szCs w:val="21"/>
    </w:rPr>
  </w:style>
  <w:style w:type="paragraph" w:customStyle="1" w:styleId="11">
    <w:name w:val="p15"/>
    <w:basedOn w:val="1"/>
    <w:qFormat/>
    <w:uiPriority w:val="0"/>
    <w:pPr>
      <w:widowControl/>
    </w:pPr>
    <w:rPr>
      <w:rFonts w:ascii="宋体" w:hAnsi="宋体" w:cs="宋体"/>
      <w:kern w:val="0"/>
      <w:szCs w:val="21"/>
    </w:rPr>
  </w:style>
  <w:style w:type="character" w:customStyle="1" w:styleId="12">
    <w:name w:val="页眉 Char"/>
    <w:basedOn w:val="9"/>
    <w:link w:val="6"/>
    <w:qFormat/>
    <w:uiPriority w:val="99"/>
    <w:rPr>
      <w:rFonts w:ascii="Times New Roman" w:hAnsi="Times New Roman"/>
      <w:kern w:val="2"/>
      <w:sz w:val="18"/>
      <w:szCs w:val="18"/>
    </w:rPr>
  </w:style>
  <w:style w:type="character" w:customStyle="1" w:styleId="13">
    <w:name w:val="页脚 Char"/>
    <w:basedOn w:val="9"/>
    <w:link w:val="5"/>
    <w:qFormat/>
    <w:uiPriority w:val="99"/>
    <w:rPr>
      <w:rFonts w:ascii="Times New Roman" w:hAnsi="Times New Roman"/>
      <w:kern w:val="2"/>
      <w:sz w:val="18"/>
      <w:szCs w:val="18"/>
    </w:rPr>
  </w:style>
  <w:style w:type="paragraph" w:customStyle="1" w:styleId="14">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5">
    <w:name w:val="样式 四号 行距: 1.5 倍行距"/>
    <w:basedOn w:val="1"/>
    <w:link w:val="19"/>
    <w:qFormat/>
    <w:uiPriority w:val="0"/>
    <w:pPr>
      <w:adjustRightInd w:val="0"/>
      <w:snapToGrid w:val="0"/>
      <w:spacing w:line="360" w:lineRule="auto"/>
      <w:ind w:firstLine="480"/>
    </w:pPr>
    <w:rPr>
      <w:rFonts w:cs="宋体"/>
      <w:sz w:val="24"/>
      <w:szCs w:val="24"/>
    </w:rPr>
  </w:style>
  <w:style w:type="paragraph" w:customStyle="1" w:styleId="16">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7">
    <w:name w:val="List Paragraph"/>
    <w:basedOn w:val="1"/>
    <w:qFormat/>
    <w:uiPriority w:val="99"/>
    <w:pPr>
      <w:ind w:firstLine="420" w:firstLineChars="200"/>
    </w:pPr>
  </w:style>
  <w:style w:type="character" w:customStyle="1" w:styleId="18">
    <w:name w:val="批注框文本 Char"/>
    <w:basedOn w:val="9"/>
    <w:link w:val="4"/>
    <w:qFormat/>
    <w:uiPriority w:val="0"/>
    <w:rPr>
      <w:rFonts w:ascii="Times New Roman" w:hAnsi="Times New Roman"/>
      <w:kern w:val="2"/>
      <w:sz w:val="18"/>
      <w:szCs w:val="18"/>
    </w:rPr>
  </w:style>
  <w:style w:type="character" w:customStyle="1" w:styleId="19">
    <w:name w:val="样式 四号 行距: 1.5 倍行距 Char"/>
    <w:link w:val="15"/>
    <w:qFormat/>
    <w:uiPriority w:val="0"/>
    <w:rPr>
      <w:rFonts w:ascii="Times New Roman" w:hAnsi="Times New Roman" w:cs="宋体"/>
      <w:kern w:val="2"/>
      <w:sz w:val="24"/>
      <w:szCs w:val="24"/>
    </w:rPr>
  </w:style>
  <w:style w:type="character" w:customStyle="1" w:styleId="20">
    <w:name w:val="正文缩进 Char"/>
    <w:link w:val="2"/>
    <w:qFormat/>
    <w:uiPriority w:val="0"/>
    <w:rPr>
      <w:rFonts w:ascii="宋体" w:hAnsi="宋体"/>
      <w:sz w:val="24"/>
      <w:szCs w:val="28"/>
    </w:rPr>
  </w:style>
  <w:style w:type="character" w:customStyle="1" w:styleId="21">
    <w:name w:val="日期 Char"/>
    <w:basedOn w:val="9"/>
    <w:link w:val="3"/>
    <w:qFormat/>
    <w:uiPriority w:val="0"/>
    <w:rPr>
      <w:rFonts w:ascii="Times New Roman" w:hAnsi="Times New Roman"/>
      <w:kern w:val="2"/>
      <w:sz w:val="21"/>
    </w:rPr>
  </w:style>
  <w:style w:type="character" w:customStyle="1" w:styleId="22">
    <w:name w:val="样式 (符号) 宋体 小四 黑色"/>
    <w:qFormat/>
    <w:uiPriority w:val="0"/>
    <w:rPr>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26</TotalTime>
  <ScaleCrop>false</ScaleCrop>
  <LinksUpToDate>false</LinksUpToDate>
  <CharactersWithSpaces>2740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2020-05-21T01:41:00Z</cp:lastPrinted>
  <dcterms:modified xsi:type="dcterms:W3CDTF">2020-06-19T06:51:04Z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