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80" w:lineRule="exact"/>
        <w:jc w:val="center"/>
        <w:rPr>
          <w:rFonts w:ascii="华文中宋" w:hAnsi="华文中宋" w:eastAsia="华文中宋"/>
          <w:b/>
          <w:bCs/>
          <w:sz w:val="52"/>
          <w:szCs w:val="52"/>
        </w:rPr>
      </w:pPr>
    </w:p>
    <w:p>
      <w:pPr>
        <w:pStyle w:val="12"/>
        <w:spacing w:line="580" w:lineRule="exact"/>
        <w:jc w:val="center"/>
        <w:rPr>
          <w:rFonts w:ascii="华文中宋" w:hAnsi="华文中宋" w:eastAsia="华文中宋"/>
          <w:b/>
          <w:bCs/>
          <w:sz w:val="52"/>
          <w:szCs w:val="52"/>
        </w:rPr>
      </w:pPr>
    </w:p>
    <w:p>
      <w:pPr>
        <w:rPr>
          <w:rFonts w:ascii="仿宋_GB2312" w:hAnsi="仿宋_GB2312" w:eastAsia="仿宋_GB2312" w:cs="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0"/>
          <w:szCs w:val="30"/>
        </w:rPr>
      </w:pPr>
    </w:p>
    <w:p>
      <w:pPr>
        <w:ind w:firstLine="555"/>
        <w:jc w:val="center"/>
        <w:rPr>
          <w:rFonts w:ascii="仿宋_GB2312" w:eastAsia="仿宋_GB2312"/>
          <w:sz w:val="30"/>
          <w:szCs w:val="30"/>
        </w:rPr>
      </w:pP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开封市水利局</w:t>
      </w:r>
    </w:p>
    <w:p>
      <w:pPr>
        <w:pStyle w:val="12"/>
        <w:spacing w:line="580" w:lineRule="exact"/>
        <w:jc w:val="center"/>
        <w:rPr>
          <w:rFonts w:ascii="华文中宋" w:hAnsi="华文中宋" w:eastAsia="华文中宋"/>
          <w:b/>
          <w:bCs/>
          <w:sz w:val="52"/>
          <w:szCs w:val="52"/>
        </w:rPr>
      </w:pPr>
      <w:r>
        <w:rPr>
          <w:rFonts w:hint="eastAsia" w:ascii="华文中宋" w:hAnsi="华文中宋" w:eastAsia="华文中宋"/>
          <w:b/>
          <w:bCs/>
          <w:sz w:val="52"/>
          <w:szCs w:val="52"/>
        </w:rPr>
        <w:t>准予水行政许可决定书</w:t>
      </w:r>
    </w:p>
    <w:p>
      <w:pPr>
        <w:pStyle w:val="12"/>
        <w:spacing w:line="580" w:lineRule="exact"/>
        <w:rPr>
          <w:rFonts w:ascii="华文中宋" w:hAnsi="华文中宋" w:eastAsia="华文中宋"/>
          <w:b/>
          <w:bCs/>
          <w:sz w:val="52"/>
          <w:szCs w:val="52"/>
        </w:rPr>
      </w:pPr>
    </w:p>
    <w:p>
      <w:pPr>
        <w:ind w:firstLine="4480" w:firstLineChars="1400"/>
        <w:rPr>
          <w:sz w:val="32"/>
          <w:szCs w:val="32"/>
        </w:rPr>
      </w:pPr>
      <w:r>
        <w:rPr>
          <w:rFonts w:hint="eastAsia"/>
          <w:sz w:val="32"/>
          <w:szCs w:val="32"/>
        </w:rPr>
        <w:t>汴水行许字〔</w:t>
      </w:r>
      <w:r>
        <w:rPr>
          <w:rFonts w:hint="eastAsia"/>
          <w:sz w:val="32"/>
          <w:szCs w:val="32"/>
          <w:lang w:val="en-US" w:eastAsia="zh-CN"/>
        </w:rPr>
        <w:t>2020</w:t>
      </w:r>
      <w:r>
        <w:rPr>
          <w:rFonts w:hint="eastAsia"/>
          <w:sz w:val="32"/>
          <w:szCs w:val="32"/>
        </w:rPr>
        <w:t>〕</w:t>
      </w:r>
      <w:r>
        <w:rPr>
          <w:rFonts w:hint="eastAsia"/>
          <w:sz w:val="32"/>
          <w:szCs w:val="32"/>
          <w:lang w:val="en-US" w:eastAsia="zh-CN"/>
        </w:rPr>
        <w:t>24</w:t>
      </w:r>
      <w:r>
        <w:rPr>
          <w:rFonts w:hint="eastAsia"/>
          <w:sz w:val="32"/>
          <w:szCs w:val="32"/>
        </w:rPr>
        <w:t>号</w:t>
      </w:r>
    </w:p>
    <w:p>
      <w:pPr>
        <w:pStyle w:val="11"/>
        <w:rPr>
          <w:kern w:val="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许可事项：</w:t>
      </w:r>
      <w:r>
        <w:rPr>
          <w:rFonts w:hint="eastAsia" w:ascii="仿宋_GB2312" w:hAnsi="仿宋_GB2312" w:eastAsia="仿宋_GB2312" w:cs="仿宋_GB2312"/>
          <w:sz w:val="32"/>
          <w:szCs w:val="32"/>
          <w:lang w:val="en-US" w:eastAsia="zh-CN"/>
        </w:rPr>
        <w:t>开封尉氏郑店110千伏输变电工程</w:t>
      </w:r>
      <w:r>
        <w:rPr>
          <w:rFonts w:hint="eastAsia" w:ascii="仿宋_GB2312" w:hAnsi="仿宋_GB2312" w:eastAsia="仿宋_GB2312" w:cs="仿宋_GB2312"/>
          <w:sz w:val="32"/>
          <w:szCs w:val="32"/>
        </w:rPr>
        <w:t>水土保持方案报告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的审批</w:t>
      </w:r>
    </w:p>
    <w:p>
      <w:pPr>
        <w:adjustRightInd w:val="0"/>
        <w:snapToGrid w:val="0"/>
        <w:spacing w:line="360" w:lineRule="auto"/>
        <w:rPr>
          <w:rFonts w:ascii="仿宋_GB2312" w:hAnsi="仿宋_GB2312" w:eastAsia="仿宋_GB2312" w:cs="仿宋_GB2312"/>
          <w:sz w:val="32"/>
          <w:szCs w:val="32"/>
        </w:rPr>
      </w:pPr>
    </w:p>
    <w:p>
      <w:pPr>
        <w:keepNext w:val="0"/>
        <w:keepLines w:val="0"/>
        <w:widowControl/>
        <w:suppressLineNumbers w:val="0"/>
        <w:jc w:val="left"/>
        <w:rPr>
          <w:rFonts w:ascii="仿宋_GB2312" w:hAnsi="仿宋_GB2312" w:eastAsia="仿宋_GB2312" w:cs="仿宋_GB2312"/>
          <w:sz w:val="32"/>
          <w:szCs w:val="32"/>
        </w:rPr>
      </w:pPr>
      <w:r>
        <w:rPr>
          <w:rFonts w:hint="eastAsia" w:eastAsia="仿宋_GB2312" w:cs="Times New Roman"/>
          <w:color w:val="auto"/>
          <w:sz w:val="32"/>
          <w:szCs w:val="32"/>
          <w:lang w:val="en-US" w:eastAsia="zh-CN"/>
        </w:rPr>
        <w:t>国网河南省电力公司开封供电公司</w:t>
      </w:r>
      <w:r>
        <w:rPr>
          <w:rFonts w:hint="eastAsia" w:ascii="仿宋_GB2312" w:hAnsi="仿宋_GB2312" w:eastAsia="仿宋_GB2312" w:cs="仿宋_GB2312"/>
          <w:sz w:val="32"/>
          <w:szCs w:val="32"/>
        </w:rPr>
        <w:t>：</w:t>
      </w:r>
    </w:p>
    <w:p>
      <w:pPr>
        <w:adjustRightInd w:val="0"/>
        <w:snapToGrid w:val="0"/>
        <w:spacing w:line="600" w:lineRule="exact"/>
        <w:ind w:firstLine="800" w:firstLineChars="250"/>
        <w:rPr>
          <w:rFonts w:ascii="仿宋_GB2312" w:hAnsi="仿宋_GB2312" w:eastAsia="仿宋_GB2312" w:cs="仿宋_GB2312"/>
          <w:sz w:val="32"/>
          <w:szCs w:val="32"/>
        </w:rPr>
      </w:pPr>
      <w:r>
        <w:rPr>
          <w:rFonts w:hint="eastAsia" w:eastAsia="仿宋_GB2312" w:cs="Times New Roman"/>
          <w:color w:val="auto"/>
          <w:sz w:val="32"/>
          <w:szCs w:val="32"/>
          <w:lang w:val="en-US" w:eastAsia="zh-CN"/>
        </w:rPr>
        <w:t>本机关于2020年6月10日受理你单位报送的</w:t>
      </w:r>
      <w:r>
        <w:rPr>
          <w:rFonts w:hint="default" w:ascii="Times New Roman" w:hAnsi="Times New Roman" w:eastAsia="仿宋_GB2312" w:cs="Times New Roman"/>
          <w:color w:val="auto"/>
          <w:sz w:val="32"/>
          <w:szCs w:val="32"/>
        </w:rPr>
        <w:t>《关于呈报&lt;</w:t>
      </w:r>
      <w:r>
        <w:rPr>
          <w:rFonts w:hint="eastAsia" w:ascii="仿宋_GB2312" w:hAnsi="仿宋_GB2312" w:eastAsia="仿宋_GB2312" w:cs="仿宋_GB2312"/>
          <w:sz w:val="32"/>
          <w:szCs w:val="32"/>
          <w:lang w:val="en-US" w:eastAsia="zh-CN"/>
        </w:rPr>
        <w:t>开封尉氏郑店110千伏输变电工程</w:t>
      </w:r>
      <w:r>
        <w:rPr>
          <w:rFonts w:hint="default" w:ascii="Times New Roman" w:hAnsi="Times New Roman" w:eastAsia="仿宋_GB2312" w:cs="Times New Roman"/>
          <w:color w:val="auto"/>
          <w:sz w:val="32"/>
          <w:szCs w:val="32"/>
        </w:rPr>
        <w:t>&gt;</w:t>
      </w:r>
      <w:r>
        <w:rPr>
          <w:rFonts w:hint="eastAsia" w:eastAsia="仿宋_GB2312" w:cs="Times New Roman"/>
          <w:color w:val="auto"/>
          <w:sz w:val="32"/>
          <w:szCs w:val="32"/>
          <w:lang w:val="en-US" w:eastAsia="zh-CN"/>
        </w:rPr>
        <w:t>的请示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经审查，该申请符合法定条件。</w:t>
      </w:r>
      <w:r>
        <w:rPr>
          <w:rFonts w:hint="eastAsia" w:ascii="仿宋_GB2312" w:hAnsi="仿宋_GB2312" w:eastAsia="仿宋_GB2312" w:cs="仿宋_GB2312"/>
          <w:sz w:val="32"/>
          <w:szCs w:val="32"/>
        </w:rPr>
        <w:t>根据《中华人民共和国行政许可法》第三十八条第一款、《水行政许可实施办法》第三十二条规定，按照《中华人民共和国水土保持法》第二十五条及其配套法规、技术规范的有关规定，《报告</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》以及专家</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意见，许可如下：</w:t>
      </w:r>
    </w:p>
    <w:p>
      <w:pPr>
        <w:pStyle w:val="11"/>
        <w:numPr>
          <w:ilvl w:val="0"/>
          <w:numId w:val="1"/>
        </w:numPr>
        <w:spacing w:line="60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项目概况:</w:t>
      </w:r>
    </w:p>
    <w:p>
      <w:pPr>
        <w:ind w:firstLine="640" w:firstLineChars="200"/>
        <w:rPr>
          <w:rFonts w:hint="default" w:ascii="仿宋_GB2312" w:hAnsi="仿宋_GB2312" w:eastAsia="仿宋_GB2312" w:cs="仿宋_GB2312"/>
          <w:color w:val="auto"/>
          <w:kern w:val="2"/>
          <w:sz w:val="32"/>
          <w:szCs w:val="32"/>
          <w:lang w:val="zh-TW" w:eastAsia="zh-CN" w:bidi="ar-SA"/>
        </w:rPr>
      </w:pPr>
      <w:r>
        <w:rPr>
          <w:rFonts w:hint="default" w:ascii="仿宋_GB2312" w:hAnsi="仿宋_GB2312" w:eastAsia="仿宋_GB2312" w:cs="仿宋_GB2312"/>
          <w:color w:val="auto"/>
          <w:kern w:val="2"/>
          <w:sz w:val="32"/>
          <w:szCs w:val="32"/>
          <w:lang w:val="zh-TW" w:eastAsia="zh-CN" w:bidi="ar-SA"/>
        </w:rPr>
        <w:t>开封尉氏郑店110千伏输变电工程建设内容包括：</w:t>
      </w:r>
    </w:p>
    <w:p>
      <w:pPr>
        <w:ind w:firstLine="640" w:firstLineChars="200"/>
        <w:rPr>
          <w:rFonts w:hint="default" w:ascii="仿宋_GB2312" w:hAnsi="仿宋_GB2312" w:eastAsia="仿宋_GB2312" w:cs="仿宋_GB2312"/>
          <w:color w:val="auto"/>
          <w:kern w:val="2"/>
          <w:sz w:val="32"/>
          <w:szCs w:val="32"/>
          <w:lang w:val="zh-TW" w:eastAsia="zh-CN" w:bidi="ar-SA"/>
        </w:rPr>
      </w:pPr>
      <w:r>
        <w:rPr>
          <w:rFonts w:hint="default" w:ascii="仿宋_GB2312" w:hAnsi="仿宋_GB2312" w:eastAsia="仿宋_GB2312" w:cs="仿宋_GB2312"/>
          <w:color w:val="auto"/>
          <w:kern w:val="2"/>
          <w:sz w:val="32"/>
          <w:szCs w:val="32"/>
          <w:lang w:val="zh-TW" w:eastAsia="zh-CN" w:bidi="ar-SA"/>
        </w:rPr>
        <w:t>①郑店110千伏变电站新建工程：新建110千伏变电站一座，本期主变规模1×50MVA，110kV出线2回；</w:t>
      </w:r>
    </w:p>
    <w:p>
      <w:pPr>
        <w:spacing w:line="360" w:lineRule="auto"/>
        <w:ind w:firstLine="640" w:firstLineChars="200"/>
        <w:rPr>
          <w:rFonts w:hint="default" w:ascii="仿宋_GB2312" w:hAnsi="仿宋_GB2312" w:eastAsia="仿宋_GB2312" w:cs="仿宋_GB2312"/>
          <w:color w:val="auto"/>
          <w:kern w:val="2"/>
          <w:sz w:val="32"/>
          <w:szCs w:val="32"/>
          <w:lang w:val="zh-TW" w:eastAsia="zh-CN" w:bidi="ar-SA"/>
        </w:rPr>
      </w:pPr>
      <w:r>
        <w:rPr>
          <w:rFonts w:hint="default" w:ascii="仿宋_GB2312" w:hAnsi="仿宋_GB2312" w:eastAsia="仿宋_GB2312" w:cs="仿宋_GB2312"/>
          <w:color w:val="auto"/>
          <w:kern w:val="2"/>
          <w:sz w:val="32"/>
          <w:szCs w:val="32"/>
          <w:lang w:val="zh-TW" w:eastAsia="zh-CN" w:bidi="ar-SA"/>
        </w:rPr>
        <w:t>②明河-吕家π入郑店变110千伏架空线路工程：新建双回路线路路径长度12.8km，杆塔67基。</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开封尉氏郑店110千伏输变电工程</w:t>
      </w:r>
      <w:r>
        <w:rPr>
          <w:rFonts w:hint="eastAsia" w:ascii="仿宋_GB2312" w:hAnsi="仿宋_GB2312" w:eastAsia="仿宋_GB2312" w:cs="仿宋_GB2312"/>
          <w:sz w:val="32"/>
          <w:szCs w:val="32"/>
        </w:rPr>
        <w:t>总占地</w:t>
      </w:r>
      <w:r>
        <w:rPr>
          <w:rFonts w:hint="eastAsia" w:ascii="仿宋_GB2312" w:hAnsi="仿宋_GB2312" w:eastAsia="仿宋_GB2312" w:cs="仿宋_GB2312"/>
          <w:sz w:val="32"/>
          <w:szCs w:val="32"/>
          <w:lang w:val="en-US" w:eastAsia="zh-CN"/>
        </w:rPr>
        <w:t>3.56</w:t>
      </w:r>
      <w:r>
        <w:rPr>
          <w:rFonts w:hint="eastAsia" w:ascii="仿宋_GB2312" w:hAnsi="仿宋_GB2312" w:eastAsia="仿宋_GB2312" w:cs="仿宋_GB2312"/>
          <w:sz w:val="32"/>
          <w:szCs w:val="32"/>
        </w:rPr>
        <w:t>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，其中永久占地0.</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，临时占地</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sz w:val="32"/>
          <w:szCs w:val="32"/>
        </w:rPr>
        <w:t>hm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项目计划于2021年6月正式开工，2022年12月建成投产，项目建设总工期19个月。</w:t>
      </w:r>
      <w:r>
        <w:rPr>
          <w:rFonts w:hint="eastAsia" w:ascii="仿宋_GB2312" w:hAnsi="仿宋_GB2312" w:eastAsia="仿宋_GB2312" w:cs="仿宋_GB2312"/>
          <w:sz w:val="32"/>
          <w:szCs w:val="32"/>
          <w:lang w:val="en-US" w:eastAsia="zh-CN"/>
        </w:rPr>
        <w:t>。</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二、同意方案</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深度为可行性研究阶段深度。</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依据充分，内容全面，水土流失范围和防治目标明确。水土保持分区及水土流失防治措施总体布局基本可行。经</w:t>
      </w:r>
      <w:r>
        <w:rPr>
          <w:rFonts w:hint="eastAsia" w:ascii="仿宋_GB2312" w:hAnsi="仿宋_GB2312" w:eastAsia="仿宋_GB2312" w:cs="仿宋_GB2312"/>
          <w:sz w:val="32"/>
          <w:szCs w:val="32"/>
          <w:lang w:eastAsia="zh-CN"/>
        </w:rPr>
        <w:t>专家审查</w:t>
      </w:r>
      <w:r>
        <w:rPr>
          <w:rFonts w:hint="eastAsia" w:ascii="仿宋_GB2312" w:hAnsi="仿宋_GB2312" w:eastAsia="仿宋_GB2312" w:cs="仿宋_GB2312"/>
          <w:sz w:val="32"/>
          <w:szCs w:val="32"/>
        </w:rPr>
        <w:t>，符合开发建设项目有关技术规范的规定和要求，可作为水土保持工作的依据。</w:t>
      </w:r>
    </w:p>
    <w:p>
      <w:pPr>
        <w:keepNext w:val="0"/>
        <w:keepLines w:val="0"/>
        <w:widowControl/>
        <w:suppressLineNumbers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、同意水土流失预测内容、方法和结果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根据水土流失预测，</w:t>
      </w:r>
      <w:r>
        <w:rPr>
          <w:rFonts w:hint="default" w:ascii="仿宋_GB2312" w:hAnsi="仿宋_GB2312" w:eastAsia="仿宋_GB2312" w:cs="仿宋_GB2312"/>
          <w:sz w:val="32"/>
          <w:szCs w:val="32"/>
        </w:rPr>
        <w:t>工程建设可能造成水土流失总量</w:t>
      </w:r>
      <w:r>
        <w:rPr>
          <w:rFonts w:hint="default" w:ascii="仿宋_GB2312" w:hAnsi="仿宋_GB2312" w:eastAsia="仿宋_GB2312" w:cs="仿宋_GB2312"/>
          <w:sz w:val="32"/>
          <w:szCs w:val="32"/>
          <w:lang w:val="en-US" w:eastAsia="zh-CN"/>
        </w:rPr>
        <w:t>281.09</w:t>
      </w:r>
      <w:r>
        <w:rPr>
          <w:rFonts w:hint="default" w:ascii="仿宋_GB2312" w:hAnsi="仿宋_GB2312" w:eastAsia="仿宋_GB2312" w:cs="仿宋_GB2312"/>
          <w:sz w:val="32"/>
          <w:szCs w:val="32"/>
        </w:rPr>
        <w:t>t，其中施工期（含施工准备期）</w:t>
      </w:r>
      <w:r>
        <w:rPr>
          <w:rFonts w:hint="default" w:ascii="仿宋_GB2312" w:hAnsi="仿宋_GB2312" w:eastAsia="仿宋_GB2312" w:cs="仿宋_GB2312"/>
          <w:sz w:val="32"/>
          <w:szCs w:val="32"/>
          <w:lang w:val="en-US" w:eastAsia="zh-CN"/>
        </w:rPr>
        <w:t>249.70</w:t>
      </w:r>
      <w:r>
        <w:rPr>
          <w:rFonts w:hint="default" w:ascii="仿宋_GB2312" w:hAnsi="仿宋_GB2312" w:eastAsia="仿宋_GB2312" w:cs="仿宋_GB2312"/>
          <w:sz w:val="32"/>
          <w:szCs w:val="32"/>
        </w:rPr>
        <w:t>t，自然恢复期</w:t>
      </w:r>
      <w:r>
        <w:rPr>
          <w:rFonts w:hint="default" w:ascii="仿宋_GB2312" w:hAnsi="仿宋_GB2312" w:eastAsia="仿宋_GB2312" w:cs="仿宋_GB2312"/>
          <w:sz w:val="32"/>
          <w:szCs w:val="32"/>
          <w:lang w:val="en-US" w:eastAsia="zh-CN"/>
        </w:rPr>
        <w:t>31.39</w:t>
      </w:r>
      <w:r>
        <w:rPr>
          <w:rFonts w:hint="default" w:ascii="仿宋_GB2312" w:hAnsi="仿宋_GB2312" w:eastAsia="仿宋_GB2312" w:cs="仿宋_GB2312"/>
          <w:sz w:val="32"/>
          <w:szCs w:val="32"/>
        </w:rPr>
        <w:t>t；新增水土流失</w:t>
      </w:r>
      <w:r>
        <w:rPr>
          <w:rFonts w:hint="default" w:ascii="仿宋_GB2312" w:hAnsi="仿宋_GB2312" w:eastAsia="仿宋_GB2312" w:cs="仿宋_GB2312"/>
          <w:sz w:val="32"/>
          <w:szCs w:val="32"/>
          <w:lang w:val="en-US" w:eastAsia="zh-CN"/>
        </w:rPr>
        <w:t>量252.87</w:t>
      </w:r>
      <w:r>
        <w:rPr>
          <w:rFonts w:hint="default" w:ascii="仿宋_GB2312" w:hAnsi="仿宋_GB2312" w:eastAsia="仿宋_GB2312" w:cs="仿宋_GB2312"/>
          <w:sz w:val="32"/>
          <w:szCs w:val="32"/>
        </w:rPr>
        <w:t>t，其中施工期（含施工准备期）</w:t>
      </w:r>
      <w:r>
        <w:rPr>
          <w:rFonts w:hint="default" w:ascii="仿宋_GB2312" w:hAnsi="仿宋_GB2312" w:eastAsia="仿宋_GB2312" w:cs="仿宋_GB2312"/>
          <w:sz w:val="32"/>
          <w:szCs w:val="32"/>
          <w:lang w:val="en-US" w:eastAsia="zh-CN"/>
        </w:rPr>
        <w:t>237.80</w:t>
      </w:r>
      <w:r>
        <w:rPr>
          <w:rFonts w:hint="default" w:ascii="仿宋_GB2312" w:hAnsi="仿宋_GB2312" w:eastAsia="仿宋_GB2312" w:cs="仿宋_GB2312"/>
          <w:sz w:val="32"/>
          <w:szCs w:val="32"/>
        </w:rPr>
        <w:t>t，自然恢复期</w:t>
      </w:r>
      <w:r>
        <w:rPr>
          <w:rFonts w:hint="default" w:ascii="仿宋_GB2312" w:hAnsi="仿宋_GB2312" w:eastAsia="仿宋_GB2312" w:cs="仿宋_GB2312"/>
          <w:sz w:val="32"/>
          <w:szCs w:val="32"/>
          <w:lang w:val="en-US" w:eastAsia="zh-CN"/>
        </w:rPr>
        <w:t>15.07</w:t>
      </w:r>
      <w:r>
        <w:rPr>
          <w:rFonts w:hint="default" w:ascii="仿宋_GB2312" w:hAnsi="仿宋_GB2312" w:eastAsia="仿宋_GB2312" w:cs="仿宋_GB2312"/>
          <w:sz w:val="32"/>
          <w:szCs w:val="32"/>
        </w:rPr>
        <w:t>t。</w:t>
      </w:r>
    </w:p>
    <w:p>
      <w:pPr>
        <w:keepNext w:val="0"/>
        <w:keepLines w:val="0"/>
        <w:widowControl/>
        <w:suppressLineNumbers w:val="0"/>
        <w:ind w:firstLine="640" w:firstLineChars="200"/>
        <w:jc w:val="left"/>
        <w:rPr>
          <w:rFonts w:hint="default" w:ascii="仿宋" w:hAnsi="仿宋" w:eastAsia="仿宋" w:cs="仿宋"/>
          <w:color w:val="000000"/>
          <w:kern w:val="0"/>
          <w:sz w:val="32"/>
          <w:szCs w:val="32"/>
          <w:lang w:val="en-US" w:eastAsia="zh-CN" w:bidi="ar"/>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、同意本工程采用建设类项目Ⅰ级水土流失防治标准。</w:t>
      </w:r>
      <w:r>
        <w:rPr>
          <w:rFonts w:hint="eastAsia" w:ascii="仿宋_GB2312" w:hAnsi="仿宋_GB2312" w:eastAsia="仿宋_GB2312" w:cs="仿宋_GB2312"/>
          <w:sz w:val="32"/>
          <w:szCs w:val="32"/>
          <w:lang w:val="en-US" w:eastAsia="zh-CN"/>
        </w:rPr>
        <w:t>开封尉氏郑店110千伏输变电工程</w:t>
      </w:r>
      <w:r>
        <w:rPr>
          <w:rFonts w:hint="default" w:ascii="仿宋" w:hAnsi="仿宋" w:eastAsia="仿宋" w:cs="仿宋"/>
          <w:color w:val="000000"/>
          <w:kern w:val="0"/>
          <w:sz w:val="32"/>
          <w:szCs w:val="32"/>
          <w:lang w:val="en-US" w:eastAsia="zh-CN" w:bidi="ar"/>
        </w:rPr>
        <w:t>主体工程全线位于开封市尉氏县庄头乡境内，项目所在地尉氏县属于黄泛平原风沙国家级水土流失重点预防区；项目已避让重要江河、湖泊、全国水土保持监测网络中的水土保持监测站点、重点试验区及国家确定的水土保持长期定位观测站，满足地方规划要求，已取得地方规划部门的原则同意，且本方案对该区域采取有效的水土保持防治措施，从水土保持角度分析，项目的选址（线）是合理可行的。</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五、同</w:t>
      </w:r>
      <w:r>
        <w:rPr>
          <w:rFonts w:hint="eastAsia" w:ascii="仿宋_GB2312" w:hAnsi="仿宋_GB2312" w:eastAsia="仿宋_GB2312" w:cs="仿宋_GB2312"/>
          <w:color w:val="000000" w:themeColor="text1"/>
          <w:sz w:val="32"/>
          <w:szCs w:val="32"/>
          <w14:textFill>
            <w14:solidFill>
              <w14:schemeClr w14:val="tx1"/>
            </w14:solidFill>
          </w14:textFill>
        </w:rPr>
        <w:t>意该项目</w:t>
      </w:r>
      <w:r>
        <w:rPr>
          <w:rFonts w:hint="eastAsia" w:ascii="仿宋" w:hAnsi="仿宋" w:eastAsia="仿宋" w:cs="仿宋"/>
          <w:color w:val="000000"/>
          <w:kern w:val="0"/>
          <w:sz w:val="32"/>
          <w:szCs w:val="32"/>
          <w:lang w:val="en-US" w:eastAsia="zh-CN" w:bidi="ar"/>
        </w:rPr>
        <w:t>本项目水土流失防治责任范围。</w:t>
      </w:r>
      <w:r>
        <w:rPr>
          <w:rFonts w:hint="default" w:ascii="仿宋" w:hAnsi="仿宋" w:eastAsia="仿宋" w:cs="仿宋"/>
          <w:color w:val="000000"/>
          <w:kern w:val="0"/>
          <w:sz w:val="32"/>
          <w:szCs w:val="32"/>
          <w:lang w:val="en-US" w:eastAsia="zh-CN" w:bidi="ar"/>
        </w:rPr>
        <w:t>本项目水土流失防治责任范围面积3.56hm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，包括变电站建设区0.52hm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、塔基及施工区0.56hm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、施工便道区2.16hm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、牵张场区0.32hm</w:t>
      </w:r>
      <w:r>
        <w:rPr>
          <w:rFonts w:hint="default" w:ascii="仿宋" w:hAnsi="仿宋" w:eastAsia="仿宋" w:cs="仿宋"/>
          <w:color w:val="000000"/>
          <w:kern w:val="0"/>
          <w:sz w:val="32"/>
          <w:szCs w:val="32"/>
          <w:vertAlign w:val="superscript"/>
          <w:lang w:val="en-US" w:eastAsia="zh-CN" w:bidi="ar"/>
        </w:rPr>
        <w:t>2</w:t>
      </w:r>
      <w:r>
        <w:rPr>
          <w:rFonts w:hint="default" w:ascii="仿宋" w:hAnsi="仿宋" w:eastAsia="仿宋" w:cs="仿宋"/>
          <w:color w:val="000000"/>
          <w:kern w:val="0"/>
          <w:sz w:val="32"/>
          <w:szCs w:val="32"/>
          <w:lang w:val="en-US" w:eastAsia="zh-CN" w:bidi="ar"/>
        </w:rPr>
        <w:t>。</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、同意本</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工程建设水土流失防治要求，</w:t>
      </w:r>
      <w:r>
        <w:rPr>
          <w:rFonts w:hint="eastAsia" w:ascii="仿宋_GB2312" w:hAnsi="仿宋_GB2312" w:eastAsia="仿宋_GB2312" w:cs="仿宋_GB2312"/>
          <w:sz w:val="32"/>
          <w:szCs w:val="32"/>
          <w:lang w:eastAsia="zh-CN"/>
        </w:rPr>
        <w:t>根据水土保持有关技术规范要求，在筑土工程设计已有的防护措施的基础上，需补充或增加水土保持措施，已达到较全面的防止因工程建设而产生的水土流失。</w:t>
      </w:r>
    </w:p>
    <w:p>
      <w:pPr>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、同意水土保持</w:t>
      </w:r>
      <w:r>
        <w:rPr>
          <w:rFonts w:hint="eastAsia" w:ascii="仿宋_GB2312" w:hAnsi="仿宋_GB2312" w:eastAsia="仿宋_GB2312" w:cs="仿宋_GB2312"/>
          <w:sz w:val="32"/>
          <w:szCs w:val="32"/>
          <w:lang w:eastAsia="zh-CN"/>
        </w:rPr>
        <w:t>报告表</w:t>
      </w:r>
      <w:r>
        <w:rPr>
          <w:rFonts w:hint="eastAsia" w:ascii="仿宋_GB2312" w:hAnsi="仿宋_GB2312" w:eastAsia="仿宋_GB2312" w:cs="仿宋_GB2312"/>
          <w:sz w:val="32"/>
          <w:szCs w:val="32"/>
        </w:rPr>
        <w:t>实施进度安排，要严格按照批复的水土保持方案所确定的进度组织实施水土保持工程。</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、同意投资概算的编制依据，原则和方法。</w:t>
      </w:r>
    </w:p>
    <w:p>
      <w:pPr>
        <w:autoSpaceDE w:val="0"/>
        <w:autoSpaceDN w:val="0"/>
        <w:adjustRightInd w:val="0"/>
        <w:spacing w:line="600" w:lineRule="exact"/>
        <w:ind w:firstLine="640" w:firstLineChars="200"/>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本方案水土保持工程总投资112.92万元，其中工程措施投资13.86万元，植物措施投资0.47万元，临时工程投资71.46万元，独立费用16.72万元（其中建设管理费1.72万元，水土保持监理费7.00万元，设计费8.00万元），基本预备费6.15万元，水土保持补偿费42676</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8元。</w:t>
      </w:r>
    </w:p>
    <w:p>
      <w:pPr>
        <w:autoSpaceDE w:val="0"/>
        <w:autoSpaceDN w:val="0"/>
        <w:adjustRightInd w:val="0"/>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九、建设单位要注意做好以下工作。</w:t>
      </w:r>
    </w:p>
    <w:p>
      <w:pPr>
        <w:pStyle w:val="16"/>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按照方案要求落实各项水土保持措施，加强施工组织和施工管理，切实落实水土保持“三同时”制度；加强水土保持监理工作，确保水土保持工程质量；要积极配合和主动接受各级水土保持部门的依法监督检查。</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2、根据《中华人民共和国水土保持法》、《水土保持补偿费征收使用管理办法》、《河南省实施&lt;中华人民共和国水土保持法&gt;办法》、河南省豫发改收费〔2018〕1079号文件之规定，应缴纳水土保持补偿费</w:t>
      </w:r>
      <w:r>
        <w:rPr>
          <w:rFonts w:hint="default" w:ascii="仿宋_GB2312" w:hAnsi="仿宋_GB2312" w:eastAsia="仿宋_GB2312" w:cs="仿宋_GB2312"/>
          <w:kern w:val="2"/>
          <w:sz w:val="32"/>
          <w:szCs w:val="32"/>
          <w:lang w:val="en-US" w:eastAsia="zh-CN" w:bidi="ar-SA"/>
        </w:rPr>
        <w:t>42676</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t>元。接此文书后，在项目开工之前请将水土保持补偿费交至：</w:t>
      </w:r>
      <w:r>
        <w:rPr>
          <w:rFonts w:hint="eastAsia" w:ascii="仿宋_GB2312" w:hAnsi="仿宋_GB2312" w:eastAsia="仿宋_GB2312" w:cs="仿宋_GB2312"/>
          <w:b/>
          <w:bCs/>
          <w:kern w:val="2"/>
          <w:sz w:val="32"/>
          <w:szCs w:val="32"/>
          <w:u w:val="single"/>
          <w:lang w:val="en-US" w:eastAsia="zh-CN" w:bidi="ar-SA"/>
        </w:rPr>
        <w:t>开封市财政局非税收入财政专户</w:t>
      </w:r>
      <w:r>
        <w:rPr>
          <w:rFonts w:hint="eastAsia" w:ascii="仿宋_GB2312" w:hAnsi="仿宋_GB2312" w:eastAsia="仿宋_GB2312" w:cs="仿宋_GB2312"/>
          <w:kern w:val="2"/>
          <w:sz w:val="32"/>
          <w:szCs w:val="32"/>
          <w:lang w:val="en-US" w:eastAsia="zh-CN" w:bidi="ar-SA"/>
        </w:rPr>
        <w:t>（开户行：</w:t>
      </w:r>
      <w:r>
        <w:rPr>
          <w:rFonts w:hint="eastAsia" w:ascii="仿宋_GB2312" w:hAnsi="仿宋_GB2312" w:eastAsia="仿宋_GB2312" w:cs="仿宋_GB2312"/>
          <w:b/>
          <w:bCs/>
          <w:kern w:val="2"/>
          <w:sz w:val="32"/>
          <w:szCs w:val="32"/>
          <w:u w:val="single"/>
          <w:lang w:val="en-US" w:eastAsia="zh-CN" w:bidi="ar-SA"/>
        </w:rPr>
        <w:t>中原银行开封分行营业部</w:t>
      </w:r>
      <w:r>
        <w:rPr>
          <w:rFonts w:hint="eastAsia" w:ascii="仿宋_GB2312" w:hAnsi="仿宋_GB2312" w:eastAsia="仿宋_GB2312" w:cs="仿宋_GB2312"/>
          <w:kern w:val="2"/>
          <w:sz w:val="32"/>
          <w:szCs w:val="32"/>
          <w:lang w:val="en-US" w:eastAsia="zh-CN" w:bidi="ar-SA"/>
        </w:rPr>
        <w:t xml:space="preserve">，账号： </w:t>
      </w:r>
      <w:r>
        <w:rPr>
          <w:rFonts w:hint="eastAsia" w:ascii="仿宋_GB2312" w:hAnsi="仿宋_GB2312" w:eastAsia="仿宋_GB2312" w:cs="仿宋_GB2312"/>
          <w:b/>
          <w:bCs/>
          <w:kern w:val="2"/>
          <w:sz w:val="32"/>
          <w:szCs w:val="32"/>
          <w:u w:val="single"/>
          <w:lang w:val="en-US" w:eastAsia="zh-CN" w:bidi="ar-SA"/>
        </w:rPr>
        <w:t>5001880300010</w:t>
      </w:r>
      <w:r>
        <w:rPr>
          <w:rFonts w:hint="eastAsia" w:ascii="仿宋_GB2312" w:hAnsi="仿宋_GB2312" w:eastAsia="仿宋_GB2312" w:cs="仿宋_GB2312"/>
          <w:kern w:val="2"/>
          <w:sz w:val="32"/>
          <w:szCs w:val="32"/>
          <w:lang w:val="en-US" w:eastAsia="zh-CN" w:bidi="ar-SA"/>
        </w:rPr>
        <w:t>），进账后，请到开封市水政监察支队办理有关手续。自接到本通知书之日起三日内，你（单位）可以进行陈述和申辩，逾期视为你（单位）放弃此权利。</w:t>
      </w:r>
    </w:p>
    <w:p>
      <w:p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r>
        <w:rPr>
          <w:rFonts w:hint="eastAsia" w:ascii="仿宋_GB2312" w:eastAsia="仿宋_GB2312"/>
          <w:sz w:val="32"/>
          <w:szCs w:val="32"/>
        </w:rPr>
        <w:t>逾期不缴纳的，按照《中华人民共和国</w:t>
      </w:r>
      <w:r>
        <w:rPr>
          <w:rFonts w:hint="eastAsia" w:ascii="仿宋_GB2312" w:eastAsia="仿宋_GB2312"/>
          <w:sz w:val="32"/>
          <w:szCs w:val="32"/>
          <w:lang w:val="en-US" w:eastAsia="zh-CN"/>
        </w:rPr>
        <w:t>水土保持法</w:t>
      </w:r>
      <w:r>
        <w:rPr>
          <w:rFonts w:hint="eastAsia" w:ascii="仿宋_GB2312" w:eastAsia="仿宋_GB2312"/>
          <w:sz w:val="32"/>
          <w:szCs w:val="32"/>
        </w:rPr>
        <w:t>》第</w:t>
      </w:r>
      <w:r>
        <w:rPr>
          <w:rFonts w:hint="eastAsia" w:ascii="仿宋_GB2312" w:eastAsia="仿宋_GB2312"/>
          <w:sz w:val="32"/>
          <w:szCs w:val="32"/>
          <w:lang w:val="en-US" w:eastAsia="zh-CN"/>
        </w:rPr>
        <w:t>五</w:t>
      </w:r>
      <w:r>
        <w:rPr>
          <w:rFonts w:hint="eastAsia" w:ascii="仿宋_GB2312" w:eastAsia="仿宋_GB2312"/>
          <w:sz w:val="32"/>
          <w:szCs w:val="32"/>
        </w:rPr>
        <w:t>十七条之规定处理，即从滞纳之日起按日加收滞纳部分</w:t>
      </w:r>
      <w:r>
        <w:rPr>
          <w:rFonts w:hint="eastAsia" w:ascii="仿宋_GB2312" w:eastAsia="仿宋_GB2312"/>
          <w:sz w:val="32"/>
          <w:szCs w:val="32"/>
          <w:lang w:val="en-US" w:eastAsia="zh-CN"/>
        </w:rPr>
        <w:t>万分之五</w:t>
      </w:r>
      <w:r>
        <w:rPr>
          <w:rFonts w:hint="eastAsia" w:ascii="仿宋_GB2312" w:eastAsia="仿宋_GB2312"/>
          <w:sz w:val="32"/>
          <w:szCs w:val="32"/>
        </w:rPr>
        <w:t>的滞纳金，</w:t>
      </w:r>
      <w:r>
        <w:rPr>
          <w:rFonts w:hint="eastAsia" w:ascii="仿宋_GB2312" w:eastAsia="仿宋_GB2312"/>
          <w:sz w:val="32"/>
          <w:szCs w:val="32"/>
          <w:lang w:val="en-US" w:eastAsia="zh-CN"/>
        </w:rPr>
        <w:t>可以</w:t>
      </w:r>
      <w:r>
        <w:rPr>
          <w:rFonts w:hint="eastAsia" w:ascii="仿宋_GB2312" w:eastAsia="仿宋_GB2312"/>
          <w:sz w:val="32"/>
          <w:szCs w:val="32"/>
        </w:rPr>
        <w:t>处应缴</w:t>
      </w:r>
      <w:r>
        <w:rPr>
          <w:rFonts w:hint="eastAsia" w:ascii="仿宋_GB2312" w:eastAsia="仿宋_GB2312"/>
          <w:sz w:val="32"/>
          <w:szCs w:val="32"/>
          <w:lang w:val="en-US" w:eastAsia="zh-CN"/>
        </w:rPr>
        <w:t>水土保持补偿费三倍以下</w:t>
      </w:r>
      <w:r>
        <w:rPr>
          <w:rFonts w:hint="eastAsia" w:ascii="仿宋_GB2312" w:eastAsia="仿宋_GB2312"/>
          <w:sz w:val="32"/>
          <w:szCs w:val="32"/>
        </w:rPr>
        <w:t>的罚款。</w:t>
      </w:r>
    </w:p>
    <w:p>
      <w:pPr>
        <w:numPr>
          <w:ilvl w:val="0"/>
          <w:numId w:val="0"/>
        </w:numPr>
        <w:ind w:firstLine="640" w:firstLineChars="200"/>
        <w:jc w:val="left"/>
        <w:rPr>
          <w:rFonts w:hint="default" w:ascii="Times New Roman" w:hAnsi="Times New Roman" w:eastAsia="仿宋_GB2312" w:cs="Times New Roman"/>
          <w:sz w:val="32"/>
          <w:szCs w:val="32"/>
        </w:rPr>
      </w:pPr>
      <w:r>
        <w:rPr>
          <w:rFonts w:hint="eastAsia" w:ascii="仿宋_GB2312" w:hAnsi="仿宋_GB2312" w:eastAsia="仿宋_GB2312" w:cs="仿宋_GB2312"/>
          <w:kern w:val="2"/>
          <w:sz w:val="32"/>
          <w:szCs w:val="32"/>
          <w:lang w:val="en-US" w:eastAsia="zh-CN" w:bidi="ar-SA"/>
        </w:rPr>
        <w:t>4、</w:t>
      </w:r>
      <w:r>
        <w:rPr>
          <w:rFonts w:hint="eastAsia" w:ascii="Times New Roman" w:hAnsi="Times New Roman" w:eastAsia="仿宋_GB2312" w:cs="Times New Roman"/>
          <w:sz w:val="32"/>
          <w:szCs w:val="32"/>
          <w:lang w:eastAsia="zh-CN"/>
        </w:rPr>
        <w:t>在主体工程竣工前，</w:t>
      </w:r>
      <w:r>
        <w:rPr>
          <w:rFonts w:hint="eastAsia" w:ascii="Times New Roman" w:hAnsi="Times New Roman" w:eastAsia="仿宋_GB2312" w:cs="Times New Roman"/>
          <w:sz w:val="32"/>
          <w:szCs w:val="32"/>
        </w:rPr>
        <w:t>要切实落实国务院国发〔2017〕46号文件和水利部水保〔2017〕365号文件要求，尽快组织开展水土保持设施自主验收工作。要严格遵循水土保持标准、规范、规程确定的验收标准和条件，组织第三方机构编制水土保持设施验收报告，召开验收会议并形成水土保持设施验收鉴定书，在通过官方网站或其他便于公众知悉的方式向社会公开水土保持设施验收鉴定书、水土保持设施验收报告和水土保持监测总结报告等材料后，生产建设项目投产使用前，向我局报备水土保持设施验收材料。</w:t>
      </w:r>
      <w:r>
        <w:rPr>
          <w:rFonts w:hint="eastAsia" w:ascii="Times New Roman" w:hAnsi="Times New Roman" w:eastAsia="仿宋_GB2312" w:cs="Times New Roman"/>
          <w:sz w:val="32"/>
          <w:szCs w:val="32"/>
          <w:lang w:eastAsia="zh-CN"/>
        </w:rPr>
        <w:t>逾期不验收的水土保持设施，不得投入使用。</w:t>
      </w:r>
    </w:p>
    <w:p>
      <w:pPr>
        <w:pStyle w:val="16"/>
        <w:spacing w:line="600" w:lineRule="exact"/>
        <w:ind w:left="0" w:leftChars="0" w:firstLine="640" w:firstLineChars="200"/>
        <w:rPr>
          <w:rFonts w:hint="eastAsia" w:ascii="仿宋_GB2312" w:hAnsi="仿宋_GB2312" w:eastAsia="仿宋_GB2312" w:cs="仿宋_GB2312"/>
          <w:kern w:val="2"/>
          <w:sz w:val="32"/>
          <w:szCs w:val="32"/>
          <w:lang w:val="en-US" w:eastAsia="zh-CN" w:bidi="ar-SA"/>
        </w:rPr>
      </w:pP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6"/>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pStyle w:val="16"/>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jc w:val="center"/>
        <w:rPr>
          <w:rFonts w:hint="eastAsia" w:ascii="仿宋_GB2312" w:hAnsi="仿宋_GB2312" w:eastAsia="仿宋_GB2312" w:cs="仿宋_GB2312"/>
          <w:sz w:val="32"/>
          <w:szCs w:val="32"/>
        </w:rPr>
      </w:pPr>
    </w:p>
    <w:p>
      <w:pPr>
        <w:pStyle w:val="16"/>
        <w:ind w:left="0" w:leftChars="0" w:firstLine="0" w:firstLineChars="0"/>
        <w:jc w:val="both"/>
        <w:rPr>
          <w:rFonts w:hint="eastAsia" w:ascii="仿宋_GB2312" w:hAnsi="仿宋_GB2312" w:eastAsia="仿宋_GB2312" w:cs="仿宋_GB2312"/>
          <w:sz w:val="32"/>
          <w:szCs w:val="32"/>
        </w:rPr>
      </w:pPr>
    </w:p>
    <w:p>
      <w:pPr>
        <w:pStyle w:val="16"/>
        <w:ind w:left="0" w:leftChars="0" w:firstLine="0" w:firstLineChars="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adjustRightInd w:val="0"/>
        <w:snapToGrid w:val="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开封市水利局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bookmarkStart w:id="0" w:name="_GoBack"/>
      <w:bookmarkEnd w:id="0"/>
      <w:r>
        <w:rPr>
          <w:rFonts w:hint="eastAsia" w:ascii="仿宋_GB2312" w:hAnsi="仿宋_GB2312" w:eastAsia="仿宋_GB2312" w:cs="仿宋_GB2312"/>
          <w:sz w:val="32"/>
          <w:szCs w:val="32"/>
        </w:rPr>
        <w:t>日印发</w:t>
      </w:r>
    </w:p>
    <w:p>
      <w:pPr>
        <w:adjustRightInd w:val="0"/>
        <w:snapToGrid w:val="0"/>
        <w:rPr>
          <w:sz w:val="32"/>
          <w:szCs w:val="32"/>
          <w:u w:val="single"/>
        </w:rPr>
      </w:pPr>
      <w:r>
        <w:rPr>
          <w:rFonts w:hint="eastAsia" w:ascii="仿宋_GB2312" w:hAnsi="仿宋_GB2312" w:eastAsia="仿宋_GB2312" w:cs="仿宋_GB2312"/>
          <w:sz w:val="32"/>
          <w:szCs w:val="32"/>
          <w:u w:val="single"/>
        </w:rPr>
        <w:t xml:space="preserve">                                                   </w:t>
      </w:r>
      <w:r>
        <w:rPr>
          <w:rFonts w:hint="eastAsia"/>
          <w:sz w:val="32"/>
          <w:szCs w:val="32"/>
          <w:u w:val="single"/>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7CA"/>
    <w:multiLevelType w:val="multilevel"/>
    <w:tmpl w:val="432357C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DB"/>
    <w:rsid w:val="00003464"/>
    <w:rsid w:val="00005750"/>
    <w:rsid w:val="00010A80"/>
    <w:rsid w:val="00012590"/>
    <w:rsid w:val="0002098D"/>
    <w:rsid w:val="000224C9"/>
    <w:rsid w:val="00025AFA"/>
    <w:rsid w:val="00031733"/>
    <w:rsid w:val="00035060"/>
    <w:rsid w:val="00036B82"/>
    <w:rsid w:val="00037A1F"/>
    <w:rsid w:val="00041283"/>
    <w:rsid w:val="0004610B"/>
    <w:rsid w:val="00046919"/>
    <w:rsid w:val="000608BF"/>
    <w:rsid w:val="000722C3"/>
    <w:rsid w:val="00080DE2"/>
    <w:rsid w:val="00082130"/>
    <w:rsid w:val="00091F37"/>
    <w:rsid w:val="0009303C"/>
    <w:rsid w:val="000A44BA"/>
    <w:rsid w:val="000C1060"/>
    <w:rsid w:val="000C211F"/>
    <w:rsid w:val="000D07BD"/>
    <w:rsid w:val="000D70BA"/>
    <w:rsid w:val="000E2821"/>
    <w:rsid w:val="000E53E1"/>
    <w:rsid w:val="000E687E"/>
    <w:rsid w:val="000F14C3"/>
    <w:rsid w:val="001040BD"/>
    <w:rsid w:val="001060B6"/>
    <w:rsid w:val="00110DD2"/>
    <w:rsid w:val="00114501"/>
    <w:rsid w:val="00120996"/>
    <w:rsid w:val="00134D16"/>
    <w:rsid w:val="00144900"/>
    <w:rsid w:val="00146713"/>
    <w:rsid w:val="001508D2"/>
    <w:rsid w:val="00157927"/>
    <w:rsid w:val="00163A1D"/>
    <w:rsid w:val="001727F0"/>
    <w:rsid w:val="0017325D"/>
    <w:rsid w:val="00173BA1"/>
    <w:rsid w:val="00181F2F"/>
    <w:rsid w:val="001909C7"/>
    <w:rsid w:val="00192916"/>
    <w:rsid w:val="001A0356"/>
    <w:rsid w:val="001A16AF"/>
    <w:rsid w:val="001B6988"/>
    <w:rsid w:val="001B786E"/>
    <w:rsid w:val="001C25BD"/>
    <w:rsid w:val="001C45C4"/>
    <w:rsid w:val="001D192D"/>
    <w:rsid w:val="001D57C9"/>
    <w:rsid w:val="001D7B40"/>
    <w:rsid w:val="001E06D9"/>
    <w:rsid w:val="001E37B8"/>
    <w:rsid w:val="001F2BA3"/>
    <w:rsid w:val="001F5878"/>
    <w:rsid w:val="002026A7"/>
    <w:rsid w:val="002077C1"/>
    <w:rsid w:val="00210156"/>
    <w:rsid w:val="0021137D"/>
    <w:rsid w:val="00214E16"/>
    <w:rsid w:val="00216FF4"/>
    <w:rsid w:val="00220891"/>
    <w:rsid w:val="00224D7F"/>
    <w:rsid w:val="00230FE1"/>
    <w:rsid w:val="00244843"/>
    <w:rsid w:val="002673E1"/>
    <w:rsid w:val="00271D94"/>
    <w:rsid w:val="00284E3B"/>
    <w:rsid w:val="002A08E6"/>
    <w:rsid w:val="002B06A7"/>
    <w:rsid w:val="002B7AAC"/>
    <w:rsid w:val="002E3793"/>
    <w:rsid w:val="002E3CB2"/>
    <w:rsid w:val="003036FF"/>
    <w:rsid w:val="00325507"/>
    <w:rsid w:val="00332336"/>
    <w:rsid w:val="003449E8"/>
    <w:rsid w:val="00350197"/>
    <w:rsid w:val="00367905"/>
    <w:rsid w:val="00371170"/>
    <w:rsid w:val="003755DF"/>
    <w:rsid w:val="003837DB"/>
    <w:rsid w:val="00394A31"/>
    <w:rsid w:val="003A6451"/>
    <w:rsid w:val="003A654D"/>
    <w:rsid w:val="003A6991"/>
    <w:rsid w:val="003B3466"/>
    <w:rsid w:val="003B4FF0"/>
    <w:rsid w:val="003B504C"/>
    <w:rsid w:val="003C2E83"/>
    <w:rsid w:val="003D43C2"/>
    <w:rsid w:val="0041239C"/>
    <w:rsid w:val="004267F7"/>
    <w:rsid w:val="0043175E"/>
    <w:rsid w:val="0043260E"/>
    <w:rsid w:val="00432BDC"/>
    <w:rsid w:val="00432FD7"/>
    <w:rsid w:val="00437551"/>
    <w:rsid w:val="0044405D"/>
    <w:rsid w:val="00444F16"/>
    <w:rsid w:val="00452063"/>
    <w:rsid w:val="004565C7"/>
    <w:rsid w:val="00470B18"/>
    <w:rsid w:val="00471CDE"/>
    <w:rsid w:val="0049208E"/>
    <w:rsid w:val="0049445B"/>
    <w:rsid w:val="00494D59"/>
    <w:rsid w:val="00495ED7"/>
    <w:rsid w:val="004A4C05"/>
    <w:rsid w:val="004A5255"/>
    <w:rsid w:val="004A7B44"/>
    <w:rsid w:val="004B0AD5"/>
    <w:rsid w:val="004B4CD9"/>
    <w:rsid w:val="004C3DCC"/>
    <w:rsid w:val="004C7A63"/>
    <w:rsid w:val="004E1A7D"/>
    <w:rsid w:val="004E4534"/>
    <w:rsid w:val="004F438A"/>
    <w:rsid w:val="00507407"/>
    <w:rsid w:val="005135A8"/>
    <w:rsid w:val="00520193"/>
    <w:rsid w:val="00521E59"/>
    <w:rsid w:val="005230F2"/>
    <w:rsid w:val="00525959"/>
    <w:rsid w:val="00540138"/>
    <w:rsid w:val="00555B7D"/>
    <w:rsid w:val="00562702"/>
    <w:rsid w:val="005642DE"/>
    <w:rsid w:val="005706BA"/>
    <w:rsid w:val="005717E6"/>
    <w:rsid w:val="00576B6A"/>
    <w:rsid w:val="0058638C"/>
    <w:rsid w:val="00586F05"/>
    <w:rsid w:val="00592787"/>
    <w:rsid w:val="005A40F9"/>
    <w:rsid w:val="005B77F9"/>
    <w:rsid w:val="005D050A"/>
    <w:rsid w:val="005D146F"/>
    <w:rsid w:val="005D2ABD"/>
    <w:rsid w:val="005D2B4B"/>
    <w:rsid w:val="005D62F4"/>
    <w:rsid w:val="005F2360"/>
    <w:rsid w:val="00600ADB"/>
    <w:rsid w:val="00610473"/>
    <w:rsid w:val="00613E7B"/>
    <w:rsid w:val="006217F4"/>
    <w:rsid w:val="006250F0"/>
    <w:rsid w:val="0062603A"/>
    <w:rsid w:val="006277D5"/>
    <w:rsid w:val="00630C65"/>
    <w:rsid w:val="00633D18"/>
    <w:rsid w:val="00635072"/>
    <w:rsid w:val="006350A6"/>
    <w:rsid w:val="0064001F"/>
    <w:rsid w:val="00645499"/>
    <w:rsid w:val="0065344D"/>
    <w:rsid w:val="00671FBE"/>
    <w:rsid w:val="006949B1"/>
    <w:rsid w:val="006959E4"/>
    <w:rsid w:val="006A0310"/>
    <w:rsid w:val="006A6497"/>
    <w:rsid w:val="006C6407"/>
    <w:rsid w:val="006E242E"/>
    <w:rsid w:val="006E5BE5"/>
    <w:rsid w:val="006E65C0"/>
    <w:rsid w:val="0071148C"/>
    <w:rsid w:val="007145FA"/>
    <w:rsid w:val="0072502E"/>
    <w:rsid w:val="00733BAB"/>
    <w:rsid w:val="00741CCD"/>
    <w:rsid w:val="00750C58"/>
    <w:rsid w:val="00796C40"/>
    <w:rsid w:val="0079794E"/>
    <w:rsid w:val="007A0046"/>
    <w:rsid w:val="007A4449"/>
    <w:rsid w:val="007A49AF"/>
    <w:rsid w:val="007A5C41"/>
    <w:rsid w:val="007B0911"/>
    <w:rsid w:val="007B3DA1"/>
    <w:rsid w:val="007B4E4D"/>
    <w:rsid w:val="007C46A3"/>
    <w:rsid w:val="007D2D69"/>
    <w:rsid w:val="007D2DB4"/>
    <w:rsid w:val="007D6E81"/>
    <w:rsid w:val="007E0346"/>
    <w:rsid w:val="007E66E7"/>
    <w:rsid w:val="008013D0"/>
    <w:rsid w:val="00804907"/>
    <w:rsid w:val="00804B91"/>
    <w:rsid w:val="00812901"/>
    <w:rsid w:val="00822295"/>
    <w:rsid w:val="00827E94"/>
    <w:rsid w:val="00833606"/>
    <w:rsid w:val="00847A15"/>
    <w:rsid w:val="008649D9"/>
    <w:rsid w:val="00866460"/>
    <w:rsid w:val="008667BB"/>
    <w:rsid w:val="00871E7A"/>
    <w:rsid w:val="008779FD"/>
    <w:rsid w:val="00897B76"/>
    <w:rsid w:val="008A2C9C"/>
    <w:rsid w:val="008B2E8D"/>
    <w:rsid w:val="008B366D"/>
    <w:rsid w:val="008B405D"/>
    <w:rsid w:val="008C27EB"/>
    <w:rsid w:val="008D4ADF"/>
    <w:rsid w:val="008D780B"/>
    <w:rsid w:val="008E77C1"/>
    <w:rsid w:val="008F5EB5"/>
    <w:rsid w:val="008F7E87"/>
    <w:rsid w:val="009031F1"/>
    <w:rsid w:val="00905040"/>
    <w:rsid w:val="009354F4"/>
    <w:rsid w:val="00945D1F"/>
    <w:rsid w:val="00961B2A"/>
    <w:rsid w:val="00961FCF"/>
    <w:rsid w:val="009700C0"/>
    <w:rsid w:val="0097275F"/>
    <w:rsid w:val="009818ED"/>
    <w:rsid w:val="00983750"/>
    <w:rsid w:val="0098665F"/>
    <w:rsid w:val="00993FB4"/>
    <w:rsid w:val="009A5C40"/>
    <w:rsid w:val="009A5F6D"/>
    <w:rsid w:val="009C6CFD"/>
    <w:rsid w:val="009C7C54"/>
    <w:rsid w:val="009E0895"/>
    <w:rsid w:val="009F1861"/>
    <w:rsid w:val="009F369D"/>
    <w:rsid w:val="00A00679"/>
    <w:rsid w:val="00A0088A"/>
    <w:rsid w:val="00A0335B"/>
    <w:rsid w:val="00A06AF1"/>
    <w:rsid w:val="00A113D4"/>
    <w:rsid w:val="00A3573F"/>
    <w:rsid w:val="00A36D5F"/>
    <w:rsid w:val="00A37BB0"/>
    <w:rsid w:val="00A37BE1"/>
    <w:rsid w:val="00A57FFA"/>
    <w:rsid w:val="00A75394"/>
    <w:rsid w:val="00A75CDF"/>
    <w:rsid w:val="00A77236"/>
    <w:rsid w:val="00A84DEA"/>
    <w:rsid w:val="00A87AAA"/>
    <w:rsid w:val="00A91371"/>
    <w:rsid w:val="00A955AE"/>
    <w:rsid w:val="00A9607C"/>
    <w:rsid w:val="00AA64BD"/>
    <w:rsid w:val="00AB725D"/>
    <w:rsid w:val="00AD0691"/>
    <w:rsid w:val="00AD11A2"/>
    <w:rsid w:val="00AD41CD"/>
    <w:rsid w:val="00AE610D"/>
    <w:rsid w:val="00AF72EE"/>
    <w:rsid w:val="00B04AAF"/>
    <w:rsid w:val="00B07AD8"/>
    <w:rsid w:val="00B1130E"/>
    <w:rsid w:val="00B15EBA"/>
    <w:rsid w:val="00B27DF5"/>
    <w:rsid w:val="00B30139"/>
    <w:rsid w:val="00B31D2E"/>
    <w:rsid w:val="00B32870"/>
    <w:rsid w:val="00B34D72"/>
    <w:rsid w:val="00B37300"/>
    <w:rsid w:val="00B40CC2"/>
    <w:rsid w:val="00B44402"/>
    <w:rsid w:val="00B5587C"/>
    <w:rsid w:val="00B56061"/>
    <w:rsid w:val="00B57571"/>
    <w:rsid w:val="00B7131D"/>
    <w:rsid w:val="00B76D60"/>
    <w:rsid w:val="00B84E01"/>
    <w:rsid w:val="00B94177"/>
    <w:rsid w:val="00B941F9"/>
    <w:rsid w:val="00B94E8E"/>
    <w:rsid w:val="00BB4ED7"/>
    <w:rsid w:val="00BC5271"/>
    <w:rsid w:val="00BC60DA"/>
    <w:rsid w:val="00BD0EE9"/>
    <w:rsid w:val="00BD5AAC"/>
    <w:rsid w:val="00BD734C"/>
    <w:rsid w:val="00BE4CB4"/>
    <w:rsid w:val="00BF1933"/>
    <w:rsid w:val="00C0561D"/>
    <w:rsid w:val="00C21633"/>
    <w:rsid w:val="00C221ED"/>
    <w:rsid w:val="00C33262"/>
    <w:rsid w:val="00C45E7E"/>
    <w:rsid w:val="00C50510"/>
    <w:rsid w:val="00C5414A"/>
    <w:rsid w:val="00C62800"/>
    <w:rsid w:val="00C76E72"/>
    <w:rsid w:val="00C97759"/>
    <w:rsid w:val="00CB0222"/>
    <w:rsid w:val="00CB642C"/>
    <w:rsid w:val="00CC0EBF"/>
    <w:rsid w:val="00CC75EB"/>
    <w:rsid w:val="00D04244"/>
    <w:rsid w:val="00D05731"/>
    <w:rsid w:val="00D13AFA"/>
    <w:rsid w:val="00D324F3"/>
    <w:rsid w:val="00D3368F"/>
    <w:rsid w:val="00D44AA6"/>
    <w:rsid w:val="00D47E48"/>
    <w:rsid w:val="00D501B8"/>
    <w:rsid w:val="00D65093"/>
    <w:rsid w:val="00D65EB6"/>
    <w:rsid w:val="00D666D3"/>
    <w:rsid w:val="00D6670D"/>
    <w:rsid w:val="00D66A7D"/>
    <w:rsid w:val="00D76E52"/>
    <w:rsid w:val="00D8152E"/>
    <w:rsid w:val="00D860D4"/>
    <w:rsid w:val="00D91245"/>
    <w:rsid w:val="00DE0891"/>
    <w:rsid w:val="00DE4130"/>
    <w:rsid w:val="00DE696C"/>
    <w:rsid w:val="00DF1E99"/>
    <w:rsid w:val="00E03B24"/>
    <w:rsid w:val="00E23236"/>
    <w:rsid w:val="00E44C82"/>
    <w:rsid w:val="00E44F8D"/>
    <w:rsid w:val="00E50EDB"/>
    <w:rsid w:val="00E613E2"/>
    <w:rsid w:val="00E63A17"/>
    <w:rsid w:val="00E83992"/>
    <w:rsid w:val="00E9678A"/>
    <w:rsid w:val="00ED5A45"/>
    <w:rsid w:val="00EE41C8"/>
    <w:rsid w:val="00F1321C"/>
    <w:rsid w:val="00F15226"/>
    <w:rsid w:val="00F170CF"/>
    <w:rsid w:val="00F23CC7"/>
    <w:rsid w:val="00F27585"/>
    <w:rsid w:val="00F33225"/>
    <w:rsid w:val="00F35553"/>
    <w:rsid w:val="00F4579F"/>
    <w:rsid w:val="00F56BE5"/>
    <w:rsid w:val="00F6198E"/>
    <w:rsid w:val="00F62214"/>
    <w:rsid w:val="00F67747"/>
    <w:rsid w:val="00F730B0"/>
    <w:rsid w:val="00F76D7E"/>
    <w:rsid w:val="00F772D0"/>
    <w:rsid w:val="00F84392"/>
    <w:rsid w:val="00FB4BCA"/>
    <w:rsid w:val="00FC1A69"/>
    <w:rsid w:val="00FD014E"/>
    <w:rsid w:val="00FD3205"/>
    <w:rsid w:val="00FD7ADA"/>
    <w:rsid w:val="00FE75E2"/>
    <w:rsid w:val="00FE7677"/>
    <w:rsid w:val="00FF0BA7"/>
    <w:rsid w:val="00FF7C5C"/>
    <w:rsid w:val="01C81E4A"/>
    <w:rsid w:val="02040657"/>
    <w:rsid w:val="0509054B"/>
    <w:rsid w:val="055E5485"/>
    <w:rsid w:val="0589555D"/>
    <w:rsid w:val="07352E93"/>
    <w:rsid w:val="079C0F8C"/>
    <w:rsid w:val="0813721F"/>
    <w:rsid w:val="092D073A"/>
    <w:rsid w:val="09B03D12"/>
    <w:rsid w:val="0B6A191F"/>
    <w:rsid w:val="0B7C7AC3"/>
    <w:rsid w:val="0C03010A"/>
    <w:rsid w:val="0E007950"/>
    <w:rsid w:val="0EA207A0"/>
    <w:rsid w:val="0FAC6C69"/>
    <w:rsid w:val="12D0079A"/>
    <w:rsid w:val="14094A76"/>
    <w:rsid w:val="14B24C16"/>
    <w:rsid w:val="157F23A4"/>
    <w:rsid w:val="15E8432C"/>
    <w:rsid w:val="16F80C97"/>
    <w:rsid w:val="171F359F"/>
    <w:rsid w:val="17D5491F"/>
    <w:rsid w:val="18EF74B7"/>
    <w:rsid w:val="18FC7100"/>
    <w:rsid w:val="19DA78FB"/>
    <w:rsid w:val="1A222CF1"/>
    <w:rsid w:val="1A9019A2"/>
    <w:rsid w:val="1BE31CF8"/>
    <w:rsid w:val="1C195F8C"/>
    <w:rsid w:val="1C200F0C"/>
    <w:rsid w:val="1C263955"/>
    <w:rsid w:val="1CA20985"/>
    <w:rsid w:val="1FE704BF"/>
    <w:rsid w:val="20C07CB1"/>
    <w:rsid w:val="22392408"/>
    <w:rsid w:val="23176F15"/>
    <w:rsid w:val="24063B86"/>
    <w:rsid w:val="24190863"/>
    <w:rsid w:val="2456562D"/>
    <w:rsid w:val="248D16AF"/>
    <w:rsid w:val="24DC49C0"/>
    <w:rsid w:val="25A34813"/>
    <w:rsid w:val="269427A6"/>
    <w:rsid w:val="271C66A7"/>
    <w:rsid w:val="28F57818"/>
    <w:rsid w:val="2BF525E9"/>
    <w:rsid w:val="2CC32B95"/>
    <w:rsid w:val="2CDF6859"/>
    <w:rsid w:val="2ED645B7"/>
    <w:rsid w:val="2F03704A"/>
    <w:rsid w:val="2F7877C1"/>
    <w:rsid w:val="2FA43350"/>
    <w:rsid w:val="2FAA1653"/>
    <w:rsid w:val="30250CCA"/>
    <w:rsid w:val="31354DD7"/>
    <w:rsid w:val="32337F66"/>
    <w:rsid w:val="326A7616"/>
    <w:rsid w:val="32D60B60"/>
    <w:rsid w:val="3451670F"/>
    <w:rsid w:val="348D6FB9"/>
    <w:rsid w:val="34E95FAA"/>
    <w:rsid w:val="352C7AC3"/>
    <w:rsid w:val="368D5856"/>
    <w:rsid w:val="36DA4DDC"/>
    <w:rsid w:val="371270C6"/>
    <w:rsid w:val="39C66480"/>
    <w:rsid w:val="3A5D72AB"/>
    <w:rsid w:val="3BC073D5"/>
    <w:rsid w:val="3C260E68"/>
    <w:rsid w:val="3D04283F"/>
    <w:rsid w:val="3D22429A"/>
    <w:rsid w:val="3E4642CB"/>
    <w:rsid w:val="3E863B03"/>
    <w:rsid w:val="3F782905"/>
    <w:rsid w:val="3FFD70A7"/>
    <w:rsid w:val="40211244"/>
    <w:rsid w:val="41201852"/>
    <w:rsid w:val="41AF3F95"/>
    <w:rsid w:val="41BE0393"/>
    <w:rsid w:val="42673908"/>
    <w:rsid w:val="439663A7"/>
    <w:rsid w:val="444F670C"/>
    <w:rsid w:val="449E0D6A"/>
    <w:rsid w:val="452B09C1"/>
    <w:rsid w:val="465379C1"/>
    <w:rsid w:val="476202B0"/>
    <w:rsid w:val="47DE0B20"/>
    <w:rsid w:val="48020955"/>
    <w:rsid w:val="48174FD9"/>
    <w:rsid w:val="48DC31A2"/>
    <w:rsid w:val="48F530EF"/>
    <w:rsid w:val="4A350631"/>
    <w:rsid w:val="4A9D0202"/>
    <w:rsid w:val="4B1A6DCD"/>
    <w:rsid w:val="4B7151EA"/>
    <w:rsid w:val="4CA648F6"/>
    <w:rsid w:val="4D006F52"/>
    <w:rsid w:val="4D237B78"/>
    <w:rsid w:val="4DEF1B0D"/>
    <w:rsid w:val="4ED737F8"/>
    <w:rsid w:val="4F9F3D57"/>
    <w:rsid w:val="50845BB6"/>
    <w:rsid w:val="50A96ED8"/>
    <w:rsid w:val="510161AE"/>
    <w:rsid w:val="5198498F"/>
    <w:rsid w:val="51A02DC3"/>
    <w:rsid w:val="521943B2"/>
    <w:rsid w:val="52562F0D"/>
    <w:rsid w:val="531B45B0"/>
    <w:rsid w:val="540F455E"/>
    <w:rsid w:val="542D40F9"/>
    <w:rsid w:val="57370687"/>
    <w:rsid w:val="591D6C04"/>
    <w:rsid w:val="59525450"/>
    <w:rsid w:val="59D83F19"/>
    <w:rsid w:val="5A7C721A"/>
    <w:rsid w:val="5AC77777"/>
    <w:rsid w:val="5D6979A6"/>
    <w:rsid w:val="5D777C82"/>
    <w:rsid w:val="5DFC46B0"/>
    <w:rsid w:val="5E122DF6"/>
    <w:rsid w:val="5F1203D3"/>
    <w:rsid w:val="601B6733"/>
    <w:rsid w:val="604C3AA4"/>
    <w:rsid w:val="60CA6DD7"/>
    <w:rsid w:val="622D74D9"/>
    <w:rsid w:val="631378CD"/>
    <w:rsid w:val="63331C7D"/>
    <w:rsid w:val="63D349E0"/>
    <w:rsid w:val="65E54476"/>
    <w:rsid w:val="66D87237"/>
    <w:rsid w:val="6785488D"/>
    <w:rsid w:val="67964820"/>
    <w:rsid w:val="67C85638"/>
    <w:rsid w:val="68492154"/>
    <w:rsid w:val="69127C5D"/>
    <w:rsid w:val="698316E5"/>
    <w:rsid w:val="6A3A70E7"/>
    <w:rsid w:val="6A532918"/>
    <w:rsid w:val="6B0464E2"/>
    <w:rsid w:val="6BE82FB6"/>
    <w:rsid w:val="6C41396C"/>
    <w:rsid w:val="6D450929"/>
    <w:rsid w:val="6DAF6A17"/>
    <w:rsid w:val="6DCC3B45"/>
    <w:rsid w:val="6DEA08F1"/>
    <w:rsid w:val="6E381557"/>
    <w:rsid w:val="6F02765A"/>
    <w:rsid w:val="6F402169"/>
    <w:rsid w:val="6F6C789F"/>
    <w:rsid w:val="700254BF"/>
    <w:rsid w:val="71763B55"/>
    <w:rsid w:val="722D6062"/>
    <w:rsid w:val="727542DB"/>
    <w:rsid w:val="730C5E83"/>
    <w:rsid w:val="74700969"/>
    <w:rsid w:val="754D673F"/>
    <w:rsid w:val="7836615E"/>
    <w:rsid w:val="7890425C"/>
    <w:rsid w:val="79956834"/>
    <w:rsid w:val="7A577124"/>
    <w:rsid w:val="7EB45E62"/>
    <w:rsid w:val="7EF01CF4"/>
    <w:rsid w:val="7EF4489E"/>
    <w:rsid w:val="7F2C1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Indent"/>
    <w:basedOn w:val="1"/>
    <w:link w:val="21"/>
    <w:qFormat/>
    <w:uiPriority w:val="0"/>
    <w:pPr>
      <w:tabs>
        <w:tab w:val="right" w:pos="840"/>
      </w:tabs>
      <w:spacing w:line="360" w:lineRule="auto"/>
      <w:ind w:firstLine="233"/>
    </w:pPr>
    <w:rPr>
      <w:rFonts w:ascii="宋体" w:hAnsi="宋体"/>
      <w:kern w:val="0"/>
      <w:sz w:val="24"/>
      <w:szCs w:val="28"/>
    </w:rPr>
  </w:style>
  <w:style w:type="paragraph" w:styleId="4">
    <w:name w:val="Date"/>
    <w:basedOn w:val="1"/>
    <w:next w:val="1"/>
    <w:link w:val="22"/>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rFonts w:ascii="Times New Roman" w:hAnsi="Times New Roman" w:eastAsia="宋体" w:cs="Times New Roman"/>
      <w:sz w:val="24"/>
      <w:szCs w:val="24"/>
    </w:rPr>
  </w:style>
  <w:style w:type="paragraph" w:customStyle="1" w:styleId="11">
    <w:name w:val="p0"/>
    <w:basedOn w:val="1"/>
    <w:qFormat/>
    <w:uiPriority w:val="0"/>
    <w:pPr>
      <w:widowControl/>
    </w:pPr>
    <w:rPr>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页眉 Char"/>
    <w:basedOn w:val="10"/>
    <w:link w:val="7"/>
    <w:qFormat/>
    <w:uiPriority w:val="99"/>
    <w:rPr>
      <w:rFonts w:ascii="Times New Roman" w:hAnsi="Times New Roman"/>
      <w:kern w:val="2"/>
      <w:sz w:val="18"/>
      <w:szCs w:val="18"/>
    </w:rPr>
  </w:style>
  <w:style w:type="character" w:customStyle="1" w:styleId="14">
    <w:name w:val="页脚 Char"/>
    <w:basedOn w:val="10"/>
    <w:link w:val="6"/>
    <w:qFormat/>
    <w:uiPriority w:val="99"/>
    <w:rPr>
      <w:rFonts w:ascii="Times New Roman" w:hAnsi="Times New Roman"/>
      <w:kern w:val="2"/>
      <w:sz w:val="18"/>
      <w:szCs w:val="18"/>
    </w:rPr>
  </w:style>
  <w:style w:type="paragraph" w:customStyle="1" w:styleId="15">
    <w:name w:val="样式 样式 样式 样式 正文首行缩进 2 + 首行缩进:  2 字符 + 首行缩进:  2 字符 + 首行缩进:  2 字符 +"/>
    <w:basedOn w:val="1"/>
    <w:qFormat/>
    <w:uiPriority w:val="0"/>
    <w:pPr>
      <w:spacing w:line="520" w:lineRule="exact"/>
      <w:ind w:firstLine="200" w:firstLineChars="200"/>
    </w:pPr>
    <w:rPr>
      <w:rFonts w:cs="宋体"/>
      <w:sz w:val="28"/>
    </w:rPr>
  </w:style>
  <w:style w:type="paragraph" w:customStyle="1" w:styleId="16">
    <w:name w:val="样式 四号 行距: 1.5 倍行距"/>
    <w:basedOn w:val="1"/>
    <w:link w:val="20"/>
    <w:qFormat/>
    <w:uiPriority w:val="0"/>
    <w:pPr>
      <w:adjustRightInd w:val="0"/>
      <w:snapToGrid w:val="0"/>
      <w:spacing w:line="360" w:lineRule="auto"/>
      <w:ind w:firstLine="480"/>
    </w:pPr>
    <w:rPr>
      <w:rFonts w:cs="宋体"/>
      <w:sz w:val="24"/>
      <w:szCs w:val="24"/>
    </w:rPr>
  </w:style>
  <w:style w:type="paragraph" w:customStyle="1" w:styleId="17">
    <w:name w:val="样式 样式 样式 正文首行缩进 2 + (符号) 宋体 首行缩进:  2 字符 + 首行缩进:  2 字符 + 首行缩进:  2..."/>
    <w:basedOn w:val="1"/>
    <w:qFormat/>
    <w:uiPriority w:val="0"/>
    <w:pPr>
      <w:spacing w:line="520" w:lineRule="exact"/>
      <w:ind w:firstLine="560" w:firstLineChars="200"/>
    </w:pPr>
    <w:rPr>
      <w:rFonts w:hAnsi="宋体" w:cs="宋体"/>
      <w:sz w:val="28"/>
    </w:rPr>
  </w:style>
  <w:style w:type="paragraph" w:styleId="18">
    <w:name w:val="List Paragraph"/>
    <w:basedOn w:val="1"/>
    <w:qFormat/>
    <w:uiPriority w:val="99"/>
    <w:pPr>
      <w:ind w:firstLine="420" w:firstLineChars="200"/>
    </w:pPr>
  </w:style>
  <w:style w:type="character" w:customStyle="1" w:styleId="19">
    <w:name w:val="批注框文本 Char"/>
    <w:basedOn w:val="10"/>
    <w:link w:val="5"/>
    <w:qFormat/>
    <w:uiPriority w:val="0"/>
    <w:rPr>
      <w:rFonts w:ascii="Times New Roman" w:hAnsi="Times New Roman"/>
      <w:kern w:val="2"/>
      <w:sz w:val="18"/>
      <w:szCs w:val="18"/>
    </w:rPr>
  </w:style>
  <w:style w:type="character" w:customStyle="1" w:styleId="20">
    <w:name w:val="样式 四号 行距: 1.5 倍行距 Char"/>
    <w:link w:val="16"/>
    <w:qFormat/>
    <w:uiPriority w:val="0"/>
    <w:rPr>
      <w:rFonts w:ascii="Times New Roman" w:hAnsi="Times New Roman" w:cs="宋体"/>
      <w:kern w:val="2"/>
      <w:sz w:val="24"/>
      <w:szCs w:val="24"/>
    </w:rPr>
  </w:style>
  <w:style w:type="character" w:customStyle="1" w:styleId="21">
    <w:name w:val="正文缩进 Char"/>
    <w:link w:val="3"/>
    <w:qFormat/>
    <w:uiPriority w:val="0"/>
    <w:rPr>
      <w:rFonts w:ascii="宋体" w:hAnsi="宋体"/>
      <w:sz w:val="24"/>
      <w:szCs w:val="28"/>
    </w:rPr>
  </w:style>
  <w:style w:type="character" w:customStyle="1" w:styleId="22">
    <w:name w:val="日期 Char"/>
    <w:basedOn w:val="10"/>
    <w:link w:val="4"/>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7663B-1764-485F-BA43-03B129EC0404}">
  <ds:schemaRefs/>
</ds:datastoreItem>
</file>

<file path=docProps/app.xml><?xml version="1.0" encoding="utf-8"?>
<Properties xmlns="http://schemas.openxmlformats.org/officeDocument/2006/extended-properties" xmlns:vt="http://schemas.openxmlformats.org/officeDocument/2006/docPropsVTypes">
  <Template>Normal</Template>
  <Pages>6</Pages>
  <Words>409</Words>
  <Characters>2336</Characters>
  <Lines>19</Lines>
  <Paragraphs>5</Paragraphs>
  <TotalTime>1</TotalTime>
  <ScaleCrop>false</ScaleCrop>
  <LinksUpToDate>false</LinksUpToDate>
  <CharactersWithSpaces>2740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2018-08-20T02:23:00Z</dcterms:created>
  <dc:creator>123</dc:creator>
  <cp:lastModifiedBy>踊跃</cp:lastModifiedBy>
  <cp:lastPrinted>2020-05-21T02:54:00Z</cp:lastPrinted>
  <dcterms:modified xsi:type="dcterms:W3CDTF">2020-06-19T07:04:28Z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