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jc w:val="center"/>
        <w:rPr>
          <w:rFonts w:ascii="华文中宋" w:hAnsi="华文中宋" w:eastAsia="华文中宋"/>
          <w:b/>
          <w:bCs/>
          <w:sz w:val="52"/>
          <w:szCs w:val="52"/>
        </w:rPr>
      </w:pPr>
    </w:p>
    <w:p>
      <w:pPr>
        <w:pStyle w:val="11"/>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1"/>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11</w:t>
      </w:r>
      <w:r>
        <w:rPr>
          <w:rFonts w:hint="eastAsia"/>
          <w:sz w:val="32"/>
          <w:szCs w:val="32"/>
        </w:rPr>
        <w:t>号</w:t>
      </w:r>
    </w:p>
    <w:p>
      <w:pPr>
        <w:pStyle w:val="10"/>
        <w:rPr>
          <w:kern w:val="2"/>
          <w:sz w:val="32"/>
          <w:szCs w:val="32"/>
        </w:rPr>
      </w:pPr>
    </w:p>
    <w:p>
      <w:pPr>
        <w:autoSpaceDE w:val="0"/>
        <w:autoSpaceDN w:val="0"/>
        <w:adjustRightInd w:val="0"/>
        <w:spacing w:before="442" w:line="586"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夏寨城中村改造安置房项目</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开封市顺河古城建设开发有限公司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本机关于2020年3月14日受理你单位报送的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夏寨城中村改造安置房项目</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0"/>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adjustRightInd w:val="0"/>
        <w:snapToGrid w:val="0"/>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位于开封市东部，开封市顺河回族区汴京大道南，宏达大道西，总占地面积28666㎡。小区共规划9栋楼，建设区现状为宅用地，附近地势相对平坦开阔，项目与2016年6月开工，目前1-9栋楼主体工程建设已完成，地下车库完成，已经实施的水土保持措施主要有临时覆盖，表土剥离和彩钢板防护。总投资25000万元，土建投资15570万元。项目建设期共55个月，已于2016年6月开始施工，计划2020年12月竣工验收。</w:t>
      </w:r>
      <w:r>
        <w:rPr>
          <w:rFonts w:hint="eastAsia" w:ascii="仿宋_GB2312" w:hAnsi="仿宋_GB2312" w:eastAsia="仿宋_GB2312" w:cs="仿宋_GB2312"/>
          <w:color w:val="auto"/>
          <w:sz w:val="32"/>
          <w:szCs w:val="32"/>
        </w:rPr>
        <w:t>由于本项目已开工建设，故本方案为补报方案。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pStyle w:val="15"/>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根据水土流失预测，工程建设可能造成水土流失总量</w:t>
      </w:r>
      <w:r>
        <w:rPr>
          <w:rFonts w:hint="eastAsia" w:ascii="仿宋_GB2312" w:hAnsi="仿宋_GB2312" w:eastAsia="仿宋_GB2312" w:cs="仿宋_GB2312"/>
          <w:sz w:val="32"/>
          <w:szCs w:val="32"/>
          <w:lang w:val="en-US" w:eastAsia="zh-CN"/>
        </w:rPr>
        <w:t>466t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可能产生</w:t>
      </w:r>
      <w:r>
        <w:rPr>
          <w:rFonts w:hint="eastAsia" w:ascii="仿宋_GB2312" w:hAnsi="仿宋_GB2312" w:eastAsia="仿宋_GB2312" w:cs="仿宋_GB2312"/>
          <w:sz w:val="32"/>
          <w:szCs w:val="32"/>
        </w:rPr>
        <w:t>新增水土流失</w:t>
      </w:r>
      <w:r>
        <w:rPr>
          <w:rFonts w:hint="eastAsia" w:ascii="仿宋_GB2312" w:hAnsi="仿宋_GB2312" w:eastAsia="仿宋_GB2312" w:cs="仿宋_GB2312"/>
          <w:sz w:val="32"/>
          <w:szCs w:val="32"/>
          <w:lang w:eastAsia="zh-CN"/>
        </w:rPr>
        <w:t>量</w:t>
      </w:r>
      <w:r>
        <w:rPr>
          <w:rFonts w:hint="eastAsia" w:ascii="仿宋_GB2312" w:hAnsi="仿宋_GB2312" w:eastAsia="仿宋_GB2312" w:cs="仿宋_GB2312"/>
          <w:sz w:val="32"/>
          <w:szCs w:val="32"/>
          <w:lang w:val="en-US" w:eastAsia="zh-CN"/>
        </w:rPr>
        <w:t>434t。</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、同意本工程采用建设类项目Ⅰ级水土流失防治标准。</w:t>
      </w:r>
    </w:p>
    <w:p>
      <w:pPr>
        <w:pStyle w:val="15"/>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区域不可避免的位于黄泛平原风沙省级水土流失重点预防区；不属于饮用水水源保护区；不涉及饮用水安全、防洪安全和水资源安全；不涉及泥石流易发区、崩塌滑坡危险区以及易引起严重水土流失和生态恶化的地区；避开了全国水土保持监测网络中的水土保持监测站点、重点试验区及国家确定的水土保持长期定位观测站；项目不属于重要江河、湖泊以及跨省（区）的其他江河、湖泊的水功能一级区的保护区和保留区内可能严重影响水质，以及对水功能二级区的饮用水源区水质有影响的开发建设项目。项目符合《产业结沟调整指导目录（2011年）（2013年修订）》之规定，现已获得地块土地使用手续。</w:t>
      </w:r>
    </w:p>
    <w:p>
      <w:pPr>
        <w:numPr>
          <w:ilvl w:val="0"/>
          <w:numId w:val="2"/>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同意该项目水土流失防治责任范围面积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2.87</w:t>
      </w:r>
      <w:r>
        <w:rPr>
          <w:rFonts w:hint="eastAsia" w:ascii="仿宋_GB2312" w:hAnsi="仿宋_GB2312" w:eastAsia="仿宋_GB2312" w:cs="仿宋_GB2312"/>
          <w:color w:val="000000" w:themeColor="text1"/>
          <w:sz w:val="32"/>
          <w:szCs w:val="32"/>
          <w14:textFill>
            <w14:solidFill>
              <w14:schemeClr w14:val="tx1"/>
            </w14:solidFill>
          </w14:textFill>
        </w:rPr>
        <w:t>hm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均为永久占地。</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p>
    <w:p>
      <w:pPr>
        <w:keepNext w:val="0"/>
        <w:keepLines w:val="0"/>
        <w:widowControl/>
        <w:suppressLineNumbers w:val="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本报告表水土保持工程总投资85.96万元，其中工程措施投资16.39万元，植物措施投资28.00万元，临时工程投资6.71万元，独立费用29.02万元，基本预备费2.40万元。</w:t>
      </w:r>
      <w:bookmarkStart w:id="0" w:name="_GoBack"/>
      <w:bookmarkEnd w:id="0"/>
    </w:p>
    <w:p>
      <w:pPr>
        <w:keepNext w:val="0"/>
        <w:keepLines w:val="0"/>
        <w:widowControl/>
        <w:suppressLineNumbers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本项目水土保持补偿费免征情况说明：根据河南省水土保持补偿费征收管理办法（豫财综〔2015〕107 号）第十二条规定： </w:t>
      </w:r>
      <w:r>
        <w:rPr>
          <w:rFonts w:hint="default" w:ascii="仿宋" w:hAnsi="仿宋" w:eastAsia="仿宋" w:cs="仿宋"/>
          <w:kern w:val="2"/>
          <w:sz w:val="32"/>
          <w:szCs w:val="32"/>
          <w:lang w:val="en-US" w:eastAsia="zh-CN" w:bidi="ar-SA"/>
        </w:rPr>
        <w:t>建设保障性安居工程、市政生态环境保护基础设施项目的，免征水土保持补偿费。根据 开封市棚户区城中村改造暨保障性安居工程建设指挥认定本项目为保障房项目（详见汴棚保指办</w:t>
      </w:r>
      <w:r>
        <w:rPr>
          <w:rFonts w:hint="eastAsia" w:ascii="仿宋" w:hAnsi="仿宋" w:eastAsia="仿宋" w:cs="仿宋"/>
          <w:kern w:val="2"/>
          <w:sz w:val="32"/>
          <w:szCs w:val="32"/>
          <w:lang w:val="en-US" w:eastAsia="zh-CN" w:bidi="ar-SA"/>
        </w:rPr>
        <w:t>〔2016〕</w:t>
      </w:r>
      <w:r>
        <w:rPr>
          <w:rFonts w:hint="default" w:ascii="仿宋" w:hAnsi="仿宋" w:eastAsia="仿宋" w:cs="仿宋"/>
          <w:kern w:val="2"/>
          <w:sz w:val="32"/>
          <w:szCs w:val="32"/>
          <w:lang w:val="en-US" w:eastAsia="zh-CN" w:bidi="ar-SA"/>
        </w:rPr>
        <w:t>14 号），因此本项目水土保持补偿费不再计列。</w:t>
      </w:r>
    </w:p>
    <w:p>
      <w:pPr>
        <w:pStyle w:val="15"/>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pStyle w:val="15"/>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2、在工程投入运行之前应向水行政主管部门申请组织水土保持设施验收，逾期不验收或者验收不合格的水土保持设施，不得投入使用。 </w:t>
      </w:r>
    </w:p>
    <w:p>
      <w:pPr>
        <w:pStyle w:val="15"/>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pStyle w:val="15"/>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BF66C"/>
    <w:multiLevelType w:val="singleLevel"/>
    <w:tmpl w:val="ABDBF66C"/>
    <w:lvl w:ilvl="0" w:tentative="0">
      <w:start w:val="5"/>
      <w:numFmt w:val="chineseCounting"/>
      <w:suff w:val="nothing"/>
      <w:lvlText w:val="%1、"/>
      <w:lvlJc w:val="left"/>
      <w:rPr>
        <w:rFonts w:hint="eastAsia"/>
      </w:rPr>
    </w:lvl>
  </w:abstractNum>
  <w:abstractNum w:abstractNumId="1">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A207A0"/>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6DA7EDA"/>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0"/>
    <w:qFormat/>
    <w:uiPriority w:val="0"/>
    <w:pPr>
      <w:tabs>
        <w:tab w:val="right" w:pos="840"/>
      </w:tabs>
      <w:spacing w:line="360" w:lineRule="auto"/>
      <w:ind w:firstLine="233"/>
    </w:pPr>
    <w:rPr>
      <w:rFonts w:ascii="宋体" w:hAnsi="宋体"/>
      <w:kern w:val="0"/>
      <w:sz w:val="24"/>
      <w:szCs w:val="28"/>
    </w:rPr>
  </w:style>
  <w:style w:type="paragraph" w:styleId="3">
    <w:name w:val="Date"/>
    <w:basedOn w:val="1"/>
    <w:next w:val="1"/>
    <w:link w:val="21"/>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rFonts w:ascii="Times New Roman" w:hAnsi="Times New Roman" w:eastAsia="宋体" w:cs="Times New Roman"/>
      <w:sz w:val="24"/>
      <w:szCs w:val="24"/>
    </w:rPr>
  </w:style>
  <w:style w:type="paragraph" w:customStyle="1" w:styleId="10">
    <w:name w:val="p0"/>
    <w:basedOn w:val="1"/>
    <w:qFormat/>
    <w:uiPriority w:val="0"/>
    <w:pPr>
      <w:widowControl/>
    </w:pPr>
    <w:rPr>
      <w:kern w:val="0"/>
      <w:szCs w:val="21"/>
    </w:rPr>
  </w:style>
  <w:style w:type="paragraph" w:customStyle="1" w:styleId="11">
    <w:name w:val="p15"/>
    <w:basedOn w:val="1"/>
    <w:qFormat/>
    <w:uiPriority w:val="0"/>
    <w:pPr>
      <w:widowControl/>
    </w:pPr>
    <w:rPr>
      <w:rFonts w:ascii="宋体" w:hAnsi="宋体" w:cs="宋体"/>
      <w:kern w:val="0"/>
      <w:szCs w:val="21"/>
    </w:rPr>
  </w:style>
  <w:style w:type="character" w:customStyle="1" w:styleId="12">
    <w:name w:val="页眉 Char"/>
    <w:basedOn w:val="9"/>
    <w:link w:val="6"/>
    <w:qFormat/>
    <w:uiPriority w:val="99"/>
    <w:rPr>
      <w:rFonts w:ascii="Times New Roman" w:hAnsi="Times New Roman"/>
      <w:kern w:val="2"/>
      <w:sz w:val="18"/>
      <w:szCs w:val="18"/>
    </w:rPr>
  </w:style>
  <w:style w:type="character" w:customStyle="1" w:styleId="13">
    <w:name w:val="页脚 Char"/>
    <w:basedOn w:val="9"/>
    <w:link w:val="5"/>
    <w:qFormat/>
    <w:uiPriority w:val="99"/>
    <w:rPr>
      <w:rFonts w:ascii="Times New Roman" w:hAnsi="Times New Roman"/>
      <w:kern w:val="2"/>
      <w:sz w:val="18"/>
      <w:szCs w:val="18"/>
    </w:rPr>
  </w:style>
  <w:style w:type="paragraph" w:customStyle="1" w:styleId="14">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5">
    <w:name w:val="样式 四号 行距: 1.5 倍行距"/>
    <w:basedOn w:val="1"/>
    <w:link w:val="19"/>
    <w:qFormat/>
    <w:uiPriority w:val="0"/>
    <w:pPr>
      <w:adjustRightInd w:val="0"/>
      <w:snapToGrid w:val="0"/>
      <w:spacing w:line="360" w:lineRule="auto"/>
      <w:ind w:firstLine="480"/>
    </w:pPr>
    <w:rPr>
      <w:rFonts w:cs="宋体"/>
      <w:sz w:val="24"/>
      <w:szCs w:val="24"/>
    </w:rPr>
  </w:style>
  <w:style w:type="paragraph" w:customStyle="1" w:styleId="16">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7">
    <w:name w:val="List Paragraph"/>
    <w:basedOn w:val="1"/>
    <w:qFormat/>
    <w:uiPriority w:val="99"/>
    <w:pPr>
      <w:ind w:firstLine="420" w:firstLineChars="200"/>
    </w:pPr>
  </w:style>
  <w:style w:type="character" w:customStyle="1" w:styleId="18">
    <w:name w:val="批注框文本 Char"/>
    <w:basedOn w:val="9"/>
    <w:link w:val="4"/>
    <w:qFormat/>
    <w:uiPriority w:val="0"/>
    <w:rPr>
      <w:rFonts w:ascii="Times New Roman" w:hAnsi="Times New Roman"/>
      <w:kern w:val="2"/>
      <w:sz w:val="18"/>
      <w:szCs w:val="18"/>
    </w:rPr>
  </w:style>
  <w:style w:type="character" w:customStyle="1" w:styleId="19">
    <w:name w:val="样式 四号 行距: 1.5 倍行距 Char"/>
    <w:link w:val="15"/>
    <w:qFormat/>
    <w:uiPriority w:val="0"/>
    <w:rPr>
      <w:rFonts w:ascii="Times New Roman" w:hAnsi="Times New Roman" w:cs="宋体"/>
      <w:kern w:val="2"/>
      <w:sz w:val="24"/>
      <w:szCs w:val="24"/>
    </w:rPr>
  </w:style>
  <w:style w:type="character" w:customStyle="1" w:styleId="20">
    <w:name w:val="正文缩进 Char"/>
    <w:link w:val="2"/>
    <w:qFormat/>
    <w:uiPriority w:val="0"/>
    <w:rPr>
      <w:rFonts w:ascii="宋体" w:hAnsi="宋体"/>
      <w:sz w:val="24"/>
      <w:szCs w:val="28"/>
    </w:rPr>
  </w:style>
  <w:style w:type="character" w:customStyle="1" w:styleId="21">
    <w:name w:val="日期 Char"/>
    <w:basedOn w:val="9"/>
    <w:link w:val="3"/>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264</TotalTime>
  <ScaleCrop>false</ScaleCrop>
  <LinksUpToDate>false</LinksUpToDate>
  <CharactersWithSpaces>2740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2020-04-20T07:42:00Z</cp:lastPrinted>
  <dcterms:modified xsi:type="dcterms:W3CDTF">2020-08-12T07:13:31Z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