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jc w:val="center"/>
        <w:rPr>
          <w:rFonts w:ascii="华文中宋" w:hAnsi="华文中宋" w:eastAsia="华文中宋"/>
          <w:b/>
          <w:bCs/>
          <w:sz w:val="52"/>
          <w:szCs w:val="52"/>
        </w:rPr>
      </w:pPr>
    </w:p>
    <w:p>
      <w:pPr>
        <w:pStyle w:val="11"/>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1"/>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16</w:t>
      </w:r>
      <w:r>
        <w:rPr>
          <w:rFonts w:hint="eastAsia"/>
          <w:sz w:val="32"/>
          <w:szCs w:val="32"/>
        </w:rPr>
        <w:t>号</w:t>
      </w:r>
    </w:p>
    <w:p>
      <w:pPr>
        <w:pStyle w:val="10"/>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河南省贝斯特汽车配件用品有限公司年产 20 万件钢圈、20 万平方米新型客车内饰件建设项目</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河南省贝斯特汽车配件用品有限公司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本机关于2020年4月22日受理你单位报送的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河南省贝斯特汽车配件用品有限公司年产 20 万件钢圈、20 万平方米新型客车内饰件建设项目</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0"/>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本项目占地面积 33334.50m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 xml:space="preserve"> ，建筑面积 44546.46 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 xml:space="preserve"> ，厂区北部 主要建设职工综合楼、综合仓库，南部主要建设生产楼，分为东 西两部分，东部为车内饰件生产区，由北向南依次为 3#内饰材料车间、2#内饰材料车间、1#内饰材料车间；西部为钢圈生产区， 由北向南依次为 3#钢圈车间、2#钢圈车间、1#钢圈车间。</w:t>
      </w:r>
    </w:p>
    <w:p>
      <w:pPr>
        <w:adjustRightInd w:val="0"/>
        <w:snapToGrid w:val="0"/>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color w:val="auto"/>
          <w:sz w:val="32"/>
          <w:szCs w:val="32"/>
          <w:lang w:val="en-US" w:eastAsia="zh-CN"/>
        </w:rPr>
        <w:t>本项目总投资 22000 万元，其中土建投资 6600 万元。2019 年 1 月开工，计划于 2020 年 6 月建成并投入运行。</w:t>
      </w:r>
      <w:r>
        <w:rPr>
          <w:rFonts w:hint="eastAsia" w:ascii="仿宋_GB2312" w:hAnsi="仿宋_GB2312" w:eastAsia="仿宋_GB2312" w:cs="仿宋_GB2312"/>
          <w:color w:val="auto"/>
          <w:sz w:val="32"/>
          <w:szCs w:val="32"/>
        </w:rPr>
        <w:t>由于本项目已开工建设，故本方案为补报方案。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adjustRightInd w:val="0"/>
        <w:snapToGrid w:val="0"/>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w:t>
      </w:r>
      <w:r>
        <w:rPr>
          <w:rFonts w:hint="eastAsia" w:ascii="仿宋_GB2312" w:hAnsi="仿宋_GB2312" w:eastAsia="仿宋_GB2312" w:cs="仿宋_GB2312"/>
          <w:sz w:val="32"/>
          <w:szCs w:val="32"/>
          <w:lang w:val="en-US" w:eastAsia="zh-CN"/>
        </w:rPr>
        <w:t>项目施工期和自然恢复期将产生土壤流失总量为157.34t</w:t>
      </w:r>
      <w:r>
        <w:rPr>
          <w:rFonts w:hint="default" w:ascii="仿宋_GB2312" w:hAnsi="仿宋_GB2312" w:eastAsia="仿宋_GB2312" w:cs="仿宋_GB2312"/>
          <w:sz w:val="32"/>
          <w:szCs w:val="32"/>
          <w:lang w:val="en-US" w:eastAsia="zh-CN"/>
        </w:rPr>
        <w:t>，新增土壤流失总量为147.04t，其中：施工期土壤流失总量146.92t、新增土壤流失量137.86t，根据预测结果可知，自然恢复期土 壤流失总量10.42t、新增土壤流失量9.18t。</w:t>
      </w:r>
    </w:p>
    <w:p>
      <w:pPr>
        <w:pStyle w:val="15"/>
        <w:spacing w:line="600" w:lineRule="exact"/>
        <w:ind w:firstLine="640"/>
        <w:rPr>
          <w:rFonts w:ascii="仿宋_GB2312" w:hAnsi="宋体" w:eastAsia="仿宋_GB2312" w:cs="仿宋_GB2312"/>
          <w:color w:val="000000"/>
          <w:kern w:val="0"/>
          <w:sz w:val="24"/>
          <w:szCs w:val="24"/>
          <w:lang w:val="en-US" w:eastAsia="zh-CN" w:bidi="ar"/>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、同意本工程采用建设类项目Ⅰ级水土流失防治标准。</w:t>
      </w:r>
      <w:r>
        <w:rPr>
          <w:rFonts w:hint="eastAsia" w:ascii="仿宋_GB2312" w:hAnsi="仿宋_GB2312" w:eastAsia="仿宋_GB2312" w:cs="仿宋_GB2312"/>
          <w:kern w:val="2"/>
          <w:sz w:val="32"/>
          <w:szCs w:val="32"/>
          <w:lang w:val="en-US" w:eastAsia="zh-CN" w:bidi="ar-SA"/>
        </w:rPr>
        <w:t>按照以上分区原则，采取实地调查勘测，资料收集和数据分析相结合的方法进行分区，本项目划分为建筑物防治区、道路景观防治区、施工办公生活防治区和临时堆</w:t>
      </w:r>
      <w:r>
        <w:rPr>
          <w:rFonts w:hint="default" w:ascii="仿宋_GB2312" w:hAnsi="仿宋_GB2312" w:eastAsia="仿宋_GB2312" w:cs="仿宋_GB2312"/>
          <w:kern w:val="2"/>
          <w:sz w:val="32"/>
          <w:szCs w:val="32"/>
          <w:lang w:val="en-US" w:eastAsia="zh-CN" w:bidi="ar-SA"/>
        </w:rPr>
        <w:t>土防治区共</w:t>
      </w:r>
      <w:r>
        <w:rPr>
          <w:rFonts w:hint="eastAsia" w:ascii="仿宋_GB2312" w:hAnsi="仿宋_GB2312" w:eastAsia="仿宋_GB2312" w:cs="仿宋_GB2312"/>
          <w:kern w:val="2"/>
          <w:sz w:val="32"/>
          <w:szCs w:val="32"/>
          <w:lang w:val="en-US" w:eastAsia="zh-CN" w:bidi="ar-SA"/>
        </w:rPr>
        <w:t>4</w:t>
      </w:r>
      <w:r>
        <w:rPr>
          <w:rFonts w:hint="default" w:ascii="仿宋_GB2312" w:hAnsi="仿宋_GB2312" w:eastAsia="仿宋_GB2312" w:cs="仿宋_GB2312"/>
          <w:kern w:val="2"/>
          <w:sz w:val="32"/>
          <w:szCs w:val="32"/>
          <w:lang w:val="en-US" w:eastAsia="zh-CN" w:bidi="ar-SA"/>
        </w:rPr>
        <w:t>个防治区。</w:t>
      </w:r>
    </w:p>
    <w:p>
      <w:pPr>
        <w:keepNext w:val="0"/>
        <w:keepLines w:val="0"/>
        <w:widowControl/>
        <w:suppressLineNumbers w:val="0"/>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同意该项目</w:t>
      </w:r>
      <w:r>
        <w:rPr>
          <w:rFonts w:hint="eastAsia" w:ascii="仿宋" w:hAnsi="仿宋" w:eastAsia="仿宋" w:cs="仿宋"/>
          <w:color w:val="000000"/>
          <w:kern w:val="0"/>
          <w:sz w:val="32"/>
          <w:szCs w:val="32"/>
          <w:lang w:val="en-US" w:eastAsia="zh-CN" w:bidi="ar"/>
        </w:rPr>
        <w:t>本项目水土流失防治责任范围包括项目永久占地及临时占地面积，共计 33334.5m</w:t>
      </w:r>
      <w:r>
        <w:rPr>
          <w:rFonts w:hint="eastAsia" w:ascii="仿宋" w:hAnsi="仿宋" w:eastAsia="仿宋" w:cs="仿宋"/>
          <w:color w:val="000000"/>
          <w:kern w:val="0"/>
          <w:sz w:val="32"/>
          <w:szCs w:val="32"/>
          <w:vertAlign w:val="superscript"/>
          <w:lang w:val="en-US" w:eastAsia="zh-CN" w:bidi="ar"/>
        </w:rPr>
        <w:t>2</w:t>
      </w:r>
      <w:r>
        <w:rPr>
          <w:rFonts w:hint="eastAsia" w:ascii="仿宋" w:hAnsi="仿宋" w:eastAsia="仿宋" w:cs="仿宋"/>
          <w:color w:val="000000"/>
          <w:kern w:val="0"/>
          <w:sz w:val="32"/>
          <w:szCs w:val="32"/>
          <w:lang w:val="en-US" w:eastAsia="zh-CN" w:bidi="ar"/>
        </w:rPr>
        <w:t>，全部为永久占地。</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hAnsi="仿宋_GB2312" w:eastAsia="仿宋_GB2312" w:cs="仿宋_GB2312"/>
          <w:sz w:val="32"/>
          <w:szCs w:val="32"/>
          <w:lang w:val="en-US" w:eastAsia="zh-CN"/>
        </w:rPr>
        <w:t>本报告表水土保持估算总投资268.21</w:t>
      </w:r>
      <w:r>
        <w:rPr>
          <w:rFonts w:hint="default" w:ascii="仿宋_GB2312" w:hAnsi="仿宋_GB2312" w:eastAsia="仿宋_GB2312" w:cs="仿宋_GB2312"/>
          <w:sz w:val="32"/>
          <w:szCs w:val="32"/>
          <w:lang w:val="en-US" w:eastAsia="zh-CN"/>
        </w:rPr>
        <w:t>万元（其中主体工程已有248.98万元、本方案新增19.23万元），防治费251.31元（工程措施投资32.25万元，植物措施投资197.76万元，临时措施投资21.30万元），独立费用12.05万元（其中建设单位管理费0.05万元、科研勘察设计费7.0万元、水土保持设施验收费5.0万元），基本预备费0.86万元，水土保持补偿费4.0万元（40002元）。</w:t>
      </w:r>
    </w:p>
    <w:p>
      <w:pPr>
        <w:pStyle w:val="15"/>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w:t>
      </w:r>
      <w:r>
        <w:rPr>
          <w:rFonts w:hint="default" w:ascii="仿宋_GB2312" w:hAnsi="仿宋_GB2312" w:eastAsia="仿宋_GB2312" w:cs="仿宋_GB2312"/>
          <w:sz w:val="32"/>
          <w:szCs w:val="32"/>
          <w:lang w:val="en-US" w:eastAsia="zh-CN"/>
        </w:rPr>
        <w:t>40002</w:t>
      </w:r>
      <w:r>
        <w:rPr>
          <w:rFonts w:hint="eastAsia" w:ascii="仿宋_GB2312" w:hAnsi="仿宋_GB2312" w:eastAsia="仿宋_GB2312" w:cs="仿宋_GB2312"/>
          <w:kern w:val="2"/>
          <w:sz w:val="32"/>
          <w:szCs w:val="32"/>
          <w:lang w:val="en-US" w:eastAsia="zh-CN" w:bidi="ar-SA"/>
        </w:rPr>
        <w:t>元。接此文书后十五日内，请将水土保持补偿费交至：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numPr>
          <w:ilvl w:val="0"/>
          <w:numId w:val="0"/>
        </w:numPr>
        <w:ind w:firstLine="640" w:firstLineChars="200"/>
        <w:jc w:val="left"/>
        <w:rPr>
          <w:rFonts w:hint="default" w:ascii="Times New Roman" w:hAnsi="Times New Roman" w:eastAsia="仿宋_GB2312" w:cs="Times New Roman"/>
          <w:sz w:val="32"/>
          <w:szCs w:val="32"/>
        </w:rPr>
      </w:pPr>
      <w:r>
        <w:rPr>
          <w:rFonts w:hint="eastAsia" w:ascii="仿宋_GB2312" w:hAnsi="仿宋_GB2312" w:eastAsia="仿宋_GB2312" w:cs="仿宋_GB2312"/>
          <w:kern w:val="2"/>
          <w:sz w:val="32"/>
          <w:szCs w:val="32"/>
          <w:lang w:val="en-US" w:eastAsia="zh-CN" w:bidi="ar-SA"/>
        </w:rPr>
        <w:t>4、</w:t>
      </w:r>
      <w:bookmarkStart w:id="0" w:name="_GoBack"/>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bookmarkEnd w:id="0"/>
    <w:p>
      <w:pPr>
        <w:pStyle w:val="15"/>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p>
    <w:p>
      <w:pPr>
        <w:pStyle w:val="1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5"/>
        <w:jc w:val="center"/>
        <w:rPr>
          <w:rFonts w:hint="eastAsia" w:ascii="仿宋_GB2312" w:hAnsi="仿宋_GB2312" w:eastAsia="仿宋_GB2312" w:cs="仿宋_GB2312"/>
          <w:sz w:val="32"/>
          <w:szCs w:val="32"/>
        </w:rPr>
      </w:pPr>
    </w:p>
    <w:p>
      <w:pPr>
        <w:pStyle w:val="15"/>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5"/>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ind w:left="0" w:leftChars="0" w:firstLine="0" w:firstLineChars="0"/>
        <w:jc w:val="both"/>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jc w:val="center"/>
        <w:rPr>
          <w:rFonts w:hint="eastAsia" w:ascii="仿宋_GB2312" w:hAnsi="仿宋_GB2312" w:eastAsia="仿宋_GB2312" w:cs="仿宋_GB2312"/>
          <w:sz w:val="32"/>
          <w:szCs w:val="32"/>
        </w:rPr>
      </w:pPr>
    </w:p>
    <w:p>
      <w:pPr>
        <w:pStyle w:val="15"/>
        <w:ind w:left="0" w:leftChars="0" w:firstLine="0" w:firstLineChars="0"/>
        <w:jc w:val="both"/>
        <w:rPr>
          <w:rFonts w:hint="eastAsia" w:ascii="仿宋_GB2312" w:hAnsi="仿宋_GB2312" w:eastAsia="仿宋_GB2312" w:cs="仿宋_GB2312"/>
          <w:sz w:val="32"/>
          <w:szCs w:val="32"/>
        </w:rPr>
      </w:pPr>
    </w:p>
    <w:p>
      <w:pPr>
        <w:pStyle w:val="15"/>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0"/>
    <w:qFormat/>
    <w:uiPriority w:val="0"/>
    <w:pPr>
      <w:tabs>
        <w:tab w:val="right" w:pos="840"/>
      </w:tabs>
      <w:spacing w:line="360" w:lineRule="auto"/>
      <w:ind w:firstLine="233"/>
    </w:pPr>
    <w:rPr>
      <w:rFonts w:ascii="宋体" w:hAnsi="宋体"/>
      <w:kern w:val="0"/>
      <w:sz w:val="24"/>
      <w:szCs w:val="28"/>
    </w:rPr>
  </w:style>
  <w:style w:type="paragraph" w:styleId="3">
    <w:name w:val="Date"/>
    <w:basedOn w:val="1"/>
    <w:next w:val="1"/>
    <w:link w:val="21"/>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rFonts w:ascii="Times New Roman" w:hAnsi="Times New Roman" w:eastAsia="宋体" w:cs="Times New Roman"/>
      <w:sz w:val="24"/>
      <w:szCs w:val="24"/>
    </w:rPr>
  </w:style>
  <w:style w:type="paragraph" w:customStyle="1" w:styleId="10">
    <w:name w:val="p0"/>
    <w:basedOn w:val="1"/>
    <w:qFormat/>
    <w:uiPriority w:val="0"/>
    <w:pPr>
      <w:widowControl/>
    </w:pPr>
    <w:rPr>
      <w:kern w:val="0"/>
      <w:szCs w:val="21"/>
    </w:rPr>
  </w:style>
  <w:style w:type="paragraph" w:customStyle="1" w:styleId="11">
    <w:name w:val="p15"/>
    <w:basedOn w:val="1"/>
    <w:qFormat/>
    <w:uiPriority w:val="0"/>
    <w:pPr>
      <w:widowControl/>
    </w:pPr>
    <w:rPr>
      <w:rFonts w:ascii="宋体" w:hAnsi="宋体" w:cs="宋体"/>
      <w:kern w:val="0"/>
      <w:szCs w:val="21"/>
    </w:rPr>
  </w:style>
  <w:style w:type="character" w:customStyle="1" w:styleId="12">
    <w:name w:val="页眉 Char"/>
    <w:basedOn w:val="9"/>
    <w:link w:val="6"/>
    <w:qFormat/>
    <w:uiPriority w:val="99"/>
    <w:rPr>
      <w:rFonts w:ascii="Times New Roman" w:hAnsi="Times New Roman"/>
      <w:kern w:val="2"/>
      <w:sz w:val="18"/>
      <w:szCs w:val="18"/>
    </w:rPr>
  </w:style>
  <w:style w:type="character" w:customStyle="1" w:styleId="13">
    <w:name w:val="页脚 Char"/>
    <w:basedOn w:val="9"/>
    <w:link w:val="5"/>
    <w:qFormat/>
    <w:uiPriority w:val="99"/>
    <w:rPr>
      <w:rFonts w:ascii="Times New Roman" w:hAnsi="Times New Roman"/>
      <w:kern w:val="2"/>
      <w:sz w:val="18"/>
      <w:szCs w:val="18"/>
    </w:rPr>
  </w:style>
  <w:style w:type="paragraph" w:customStyle="1" w:styleId="14">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5">
    <w:name w:val="样式 四号 行距: 1.5 倍行距"/>
    <w:basedOn w:val="1"/>
    <w:link w:val="19"/>
    <w:qFormat/>
    <w:uiPriority w:val="0"/>
    <w:pPr>
      <w:adjustRightInd w:val="0"/>
      <w:snapToGrid w:val="0"/>
      <w:spacing w:line="360" w:lineRule="auto"/>
      <w:ind w:firstLine="480"/>
    </w:pPr>
    <w:rPr>
      <w:rFonts w:cs="宋体"/>
      <w:sz w:val="24"/>
      <w:szCs w:val="24"/>
    </w:rPr>
  </w:style>
  <w:style w:type="paragraph" w:customStyle="1" w:styleId="16">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7">
    <w:name w:val="List Paragraph"/>
    <w:basedOn w:val="1"/>
    <w:qFormat/>
    <w:uiPriority w:val="99"/>
    <w:pPr>
      <w:ind w:firstLine="420" w:firstLineChars="200"/>
    </w:pPr>
  </w:style>
  <w:style w:type="character" w:customStyle="1" w:styleId="18">
    <w:name w:val="批注框文本 Char"/>
    <w:basedOn w:val="9"/>
    <w:link w:val="4"/>
    <w:qFormat/>
    <w:uiPriority w:val="0"/>
    <w:rPr>
      <w:rFonts w:ascii="Times New Roman" w:hAnsi="Times New Roman"/>
      <w:kern w:val="2"/>
      <w:sz w:val="18"/>
      <w:szCs w:val="18"/>
    </w:rPr>
  </w:style>
  <w:style w:type="character" w:customStyle="1" w:styleId="19">
    <w:name w:val="样式 四号 行距: 1.5 倍行距 Char"/>
    <w:link w:val="15"/>
    <w:qFormat/>
    <w:uiPriority w:val="0"/>
    <w:rPr>
      <w:rFonts w:ascii="Times New Roman" w:hAnsi="Times New Roman" w:cs="宋体"/>
      <w:kern w:val="2"/>
      <w:sz w:val="24"/>
      <w:szCs w:val="24"/>
    </w:rPr>
  </w:style>
  <w:style w:type="character" w:customStyle="1" w:styleId="20">
    <w:name w:val="正文缩进 Char"/>
    <w:link w:val="2"/>
    <w:qFormat/>
    <w:uiPriority w:val="0"/>
    <w:rPr>
      <w:rFonts w:ascii="宋体" w:hAnsi="宋体"/>
      <w:sz w:val="24"/>
      <w:szCs w:val="28"/>
    </w:rPr>
  </w:style>
  <w:style w:type="character" w:customStyle="1" w:styleId="21">
    <w:name w:val="日期 Char"/>
    <w:basedOn w:val="9"/>
    <w:link w:val="3"/>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2</TotalTime>
  <ScaleCrop>false</ScaleCrop>
  <LinksUpToDate>false</LinksUpToDate>
  <CharactersWithSpaces>2740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2020-04-23T08:19:29Z</cp:lastPrinted>
  <dcterms:modified xsi:type="dcterms:W3CDTF">2020-04-23T08:26:43Z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